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rPr>
      </w:pPr>
    </w:p>
    <w:p>
      <w:pPr>
        <w:rPr>
          <w:rFonts w:ascii="楷体" w:hAnsi="楷体" w:eastAsia="楷体" w:cs="楷体"/>
        </w:rPr>
      </w:pPr>
      <w:r>
        <w:rPr>
          <w:rFonts w:hint="eastAsia" w:ascii="楷体" w:hAnsi="楷体" w:eastAsia="楷体" w:cs="楷体"/>
        </w:rPr>
        <w:drawing>
          <wp:anchor distT="0" distB="0" distL="114300" distR="114300" simplePos="0" relativeHeight="251659264" behindDoc="0" locked="0" layoutInCell="1" allowOverlap="1">
            <wp:simplePos x="0" y="0"/>
            <wp:positionH relativeFrom="column">
              <wp:posOffset>1657350</wp:posOffset>
            </wp:positionH>
            <wp:positionV relativeFrom="paragraph">
              <wp:posOffset>71120</wp:posOffset>
            </wp:positionV>
            <wp:extent cx="2085975" cy="1714500"/>
            <wp:effectExtent l="0" t="0" r="9525" b="0"/>
            <wp:wrapNone/>
            <wp:docPr id="1" name="图片 1" descr="天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顺LOGO"/>
                    <pic:cNvPicPr>
                      <a:picLocks noChangeAspect="1"/>
                    </pic:cNvPicPr>
                  </pic:nvPicPr>
                  <pic:blipFill>
                    <a:blip r:embed="rId10"/>
                    <a:stretch>
                      <a:fillRect/>
                    </a:stretch>
                  </pic:blipFill>
                  <pic:spPr>
                    <a:xfrm>
                      <a:off x="0" y="0"/>
                      <a:ext cx="2085975" cy="1714500"/>
                    </a:xfrm>
                    <a:prstGeom prst="rect">
                      <a:avLst/>
                    </a:prstGeom>
                  </pic:spPr>
                </pic:pic>
              </a:graphicData>
            </a:graphic>
          </wp:anchor>
        </w:drawing>
      </w: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spacing w:before="169"/>
        <w:ind w:right="1555"/>
        <w:jc w:val="both"/>
        <w:rPr>
          <w:rFonts w:ascii="楷体" w:hAnsi="楷体" w:eastAsia="楷体" w:cs="楷体"/>
          <w:spacing w:val="-1"/>
          <w:sz w:val="36"/>
          <w:szCs w:val="36"/>
          <w14:textOutline w14:w="9372" w14:cap="flat" w14:cmpd="sng" w14:algn="ctr">
            <w14:solidFill>
              <w14:srgbClr w14:val="000000"/>
            </w14:solidFill>
            <w14:prstDash w14:val="solid"/>
            <w14:miter w14:val="0"/>
          </w14:textOutline>
        </w:rPr>
      </w:pPr>
    </w:p>
    <w:p>
      <w:pPr>
        <w:spacing w:before="169"/>
        <w:ind w:left="1580" w:right="1555" w:hanging="4"/>
        <w:jc w:val="center"/>
        <w:rPr>
          <w:rFonts w:ascii="楷体" w:hAnsi="楷体" w:eastAsia="楷体" w:cs="楷体"/>
          <w:spacing w:val="-1"/>
          <w:sz w:val="52"/>
          <w:szCs w:val="52"/>
          <w14:textOutline w14:w="9372" w14:cap="flat" w14:cmpd="sng" w14:algn="ctr">
            <w14:solidFill>
              <w14:srgbClr w14:val="000000"/>
            </w14:solidFill>
            <w14:prstDash w14:val="solid"/>
            <w14:miter w14:val="0"/>
          </w14:textOutline>
        </w:rPr>
      </w:pPr>
      <w:r>
        <w:rPr>
          <w:rFonts w:hint="eastAsia" w:ascii="楷体" w:hAnsi="楷体" w:eastAsia="楷体" w:cs="楷体"/>
          <w:spacing w:val="-1"/>
          <w:sz w:val="52"/>
          <w:szCs w:val="52"/>
          <w14:textOutline w14:w="9372" w14:cap="flat" w14:cmpd="sng" w14:algn="ctr">
            <w14:solidFill>
              <w14:srgbClr w14:val="000000"/>
            </w14:solidFill>
            <w14:prstDash w14:val="solid"/>
            <w14:miter w14:val="0"/>
          </w14:textOutline>
        </w:rPr>
        <w:t>天顺风能</w:t>
      </w:r>
    </w:p>
    <w:p>
      <w:pPr>
        <w:spacing w:before="169"/>
        <w:ind w:left="1580" w:right="1555" w:hanging="4"/>
        <w:jc w:val="center"/>
        <w:rPr>
          <w:rFonts w:ascii="楷体" w:hAnsi="楷体" w:eastAsia="楷体" w:cs="楷体"/>
          <w:spacing w:val="-1"/>
          <w:sz w:val="32"/>
          <w:szCs w:val="32"/>
          <w14:textOutline w14:w="9372" w14:cap="flat" w14:cmpd="sng" w14:algn="ctr">
            <w14:solidFill>
              <w14:srgbClr w14:val="000000"/>
            </w14:solidFill>
            <w14:prstDash w14:val="solid"/>
            <w14:miter w14:val="0"/>
          </w14:textOutline>
        </w:rPr>
      </w:pPr>
      <w:r>
        <w:rPr>
          <w:rFonts w:hint="eastAsia" w:ascii="楷体" w:hAnsi="楷体" w:eastAsia="楷体" w:cs="楷体"/>
          <w:spacing w:val="-1"/>
          <w:sz w:val="32"/>
          <w:szCs w:val="32"/>
          <w14:textOutline w14:w="9372" w14:cap="flat" w14:cmpd="sng" w14:algn="ctr">
            <w14:solidFill>
              <w14:srgbClr w14:val="000000"/>
            </w14:solidFill>
            <w14:prstDash w14:val="solid"/>
            <w14:miter w14:val="0"/>
          </w14:textOutline>
        </w:rPr>
        <w:t>（苏州天顺风能设备有限公司）</w:t>
      </w:r>
    </w:p>
    <w:p>
      <w:pPr>
        <w:spacing w:before="169"/>
        <w:ind w:left="1580" w:right="1555" w:hanging="4"/>
        <w:jc w:val="center"/>
        <w:rPr>
          <w:rFonts w:ascii="楷体" w:hAnsi="楷体" w:eastAsia="楷体" w:cs="楷体"/>
          <w:spacing w:val="-1"/>
          <w:sz w:val="52"/>
          <w:szCs w:val="52"/>
          <w14:textOutline w14:w="9372" w14:cap="flat" w14:cmpd="sng" w14:algn="ctr">
            <w14:solidFill>
              <w14:srgbClr w14:val="000000"/>
            </w14:solidFill>
            <w14:prstDash w14:val="solid"/>
            <w14:miter w14:val="0"/>
          </w14:textOutline>
        </w:rPr>
      </w:pPr>
      <w:r>
        <w:rPr>
          <w:rFonts w:hint="eastAsia" w:ascii="楷体" w:hAnsi="楷体" w:eastAsia="楷体" w:cs="楷体"/>
          <w:spacing w:val="-1"/>
          <w:sz w:val="52"/>
          <w:szCs w:val="52"/>
          <w14:textOutline w14:w="9372" w14:cap="flat" w14:cmpd="sng" w14:algn="ctr">
            <w14:solidFill>
              <w14:srgbClr w14:val="000000"/>
            </w14:solidFill>
            <w14:prstDash w14:val="solid"/>
            <w14:miter w14:val="0"/>
          </w14:textOutline>
        </w:rPr>
        <w:t>2021年年度</w:t>
      </w:r>
    </w:p>
    <w:p>
      <w:pPr>
        <w:spacing w:before="169"/>
        <w:ind w:left="1580" w:right="1555" w:hanging="4"/>
        <w:jc w:val="center"/>
        <w:rPr>
          <w:rFonts w:ascii="楷体" w:hAnsi="楷体" w:eastAsia="楷体" w:cs="楷体"/>
          <w:sz w:val="52"/>
          <w:szCs w:val="52"/>
        </w:rPr>
      </w:pPr>
      <w:r>
        <w:rPr>
          <w:rFonts w:hint="eastAsia" w:ascii="楷体" w:hAnsi="楷体" w:eastAsia="楷体" w:cs="楷体"/>
          <w:spacing w:val="-1"/>
          <w:sz w:val="52"/>
          <w:szCs w:val="52"/>
          <w14:textOutline w14:w="9372" w14:cap="flat" w14:cmpd="sng" w14:algn="ctr">
            <w14:solidFill>
              <w14:srgbClr w14:val="000000"/>
            </w14:solidFill>
            <w14:prstDash w14:val="solid"/>
            <w14:miter w14:val="0"/>
          </w14:textOutline>
        </w:rPr>
        <w:t>社会责任报告</w:t>
      </w: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spacing w:before="144"/>
        <w:ind w:firstLine="3198"/>
        <w:rPr>
          <w:rFonts w:ascii="楷体" w:hAnsi="楷体" w:eastAsia="楷体" w:cs="楷体"/>
          <w:sz w:val="44"/>
          <w:szCs w:val="44"/>
        </w:rPr>
      </w:pPr>
      <w:r>
        <w:rPr>
          <w:rFonts w:hint="eastAsia" w:ascii="楷体" w:hAnsi="楷体" w:eastAsia="楷体" w:cs="楷体"/>
          <w:sz w:val="44"/>
          <w:szCs w:val="44"/>
          <w14:textOutline w14:w="8064" w14:cap="flat" w14:cmpd="sng" w14:algn="ctr">
            <w14:solidFill>
              <w14:srgbClr w14:val="000000"/>
            </w14:solidFill>
            <w14:prstDash w14:val="solid"/>
            <w14:miter w14:val="0"/>
          </w14:textOutline>
        </w:rPr>
        <w:t>2022年4月</w:t>
      </w:r>
    </w:p>
    <w:p>
      <w:pPr>
        <w:rPr>
          <w:rFonts w:ascii="楷体" w:hAnsi="楷体" w:eastAsia="楷体" w:cs="楷体"/>
        </w:rPr>
        <w:sectPr>
          <w:footerReference r:id="rId3" w:type="default"/>
          <w:pgSz w:w="11905" w:h="16836"/>
          <w:pgMar w:top="1431" w:right="1785" w:bottom="0" w:left="1785" w:header="0" w:footer="0" w:gutter="0"/>
          <w:cols w:space="720" w:num="1"/>
        </w:sectPr>
      </w:pPr>
    </w:p>
    <w:p>
      <w:pPr>
        <w:rPr>
          <w:rFonts w:ascii="楷体" w:hAnsi="楷体" w:eastAsia="楷体" w:cs="楷体"/>
        </w:rPr>
      </w:pPr>
    </w:p>
    <w:p>
      <w:pPr>
        <w:rPr>
          <w:rFonts w:ascii="楷体" w:hAnsi="楷体" w:eastAsia="楷体" w:cs="楷体"/>
        </w:rPr>
      </w:pPr>
    </w:p>
    <w:p>
      <w:pPr>
        <w:spacing w:before="143"/>
        <w:ind w:firstLine="3692"/>
        <w:rPr>
          <w:rFonts w:ascii="楷体" w:hAnsi="楷体" w:eastAsia="楷体" w:cs="楷体"/>
          <w:sz w:val="44"/>
          <w:szCs w:val="44"/>
        </w:rPr>
      </w:pPr>
      <w:r>
        <w:rPr>
          <w:rFonts w:hint="eastAsia" w:ascii="楷体" w:hAnsi="楷体" w:eastAsia="楷体" w:cs="楷体"/>
          <w:spacing w:val="-10"/>
          <w:sz w:val="44"/>
          <w:szCs w:val="44"/>
          <w14:textOutline w14:w="8064" w14:cap="flat" w14:cmpd="sng" w14:algn="ctr">
            <w14:solidFill>
              <w14:srgbClr w14:val="000000"/>
            </w14:solidFill>
            <w14:prstDash w14:val="solid"/>
            <w14:miter w14:val="0"/>
          </w14:textOutline>
        </w:rPr>
        <w:t>前</w:t>
      </w:r>
      <w:r>
        <w:rPr>
          <w:rFonts w:hint="eastAsia" w:ascii="楷体" w:hAnsi="楷体" w:eastAsia="楷体" w:cs="楷体"/>
          <w:spacing w:val="-64"/>
          <w:sz w:val="44"/>
          <w:szCs w:val="44"/>
        </w:rPr>
        <w:t xml:space="preserve"> </w:t>
      </w:r>
      <w:r>
        <w:rPr>
          <w:rFonts w:hint="eastAsia" w:ascii="楷体" w:hAnsi="楷体" w:eastAsia="楷体" w:cs="楷体"/>
          <w:spacing w:val="-10"/>
          <w:sz w:val="44"/>
          <w:szCs w:val="44"/>
          <w14:textOutline w14:w="8064" w14:cap="flat" w14:cmpd="sng" w14:algn="ctr">
            <w14:solidFill>
              <w14:srgbClr w14:val="000000"/>
            </w14:solidFill>
            <w14:prstDash w14:val="solid"/>
            <w14:miter w14:val="0"/>
          </w14:textOutline>
        </w:rPr>
        <w:t>言</w:t>
      </w:r>
    </w:p>
    <w:p>
      <w:pPr>
        <w:spacing w:before="252"/>
        <w:ind w:firstLine="589"/>
        <w:rPr>
          <w:rFonts w:ascii="楷体" w:hAnsi="楷体" w:eastAsia="楷体" w:cs="楷体"/>
          <w:sz w:val="28"/>
          <w:szCs w:val="28"/>
        </w:rPr>
      </w:pPr>
      <w:r>
        <w:rPr>
          <w:rFonts w:hint="eastAsia" w:ascii="楷体" w:hAnsi="楷体" w:eastAsia="楷体" w:cs="楷体"/>
          <w:sz w:val="28"/>
          <w:szCs w:val="28"/>
          <w14:textOutline w14:w="5003" w14:cap="flat" w14:cmpd="sng" w14:algn="ctr">
            <w14:solidFill>
              <w14:srgbClr w14:val="000000"/>
            </w14:solidFill>
            <w14:prstDash w14:val="solid"/>
            <w14:miter w14:val="0"/>
          </w14:textOutline>
        </w:rPr>
        <w:t>报告周期</w:t>
      </w:r>
    </w:p>
    <w:p>
      <w:pPr>
        <w:spacing w:before="347"/>
        <w:ind w:left="32" w:right="40" w:firstLine="559"/>
        <w:rPr>
          <w:rFonts w:ascii="楷体" w:hAnsi="楷体" w:eastAsia="楷体" w:cs="楷体"/>
          <w:sz w:val="28"/>
          <w:szCs w:val="28"/>
        </w:rPr>
      </w:pPr>
      <w:r>
        <w:rPr>
          <w:rFonts w:hint="eastAsia" w:ascii="楷体" w:hAnsi="楷体" w:eastAsia="楷体" w:cs="楷体"/>
          <w:spacing w:val="-3"/>
          <w:sz w:val="28"/>
          <w:szCs w:val="28"/>
        </w:rPr>
        <w:t>本报告相关信息的统计时间范围为2021年1月1日至2021年12月</w:t>
      </w:r>
      <w:r>
        <w:rPr>
          <w:rFonts w:hint="eastAsia" w:ascii="楷体" w:hAnsi="楷体" w:eastAsia="楷体" w:cs="楷体"/>
          <w:sz w:val="28"/>
          <w:szCs w:val="28"/>
        </w:rPr>
        <w:t xml:space="preserve"> </w:t>
      </w:r>
      <w:r>
        <w:rPr>
          <w:rFonts w:hint="eastAsia" w:ascii="楷体" w:hAnsi="楷体" w:eastAsia="楷体" w:cs="楷体"/>
          <w:spacing w:val="-13"/>
          <w:w w:val="97"/>
          <w:sz w:val="28"/>
          <w:szCs w:val="28"/>
        </w:rPr>
        <w:t>31日。</w:t>
      </w:r>
    </w:p>
    <w:p>
      <w:pPr>
        <w:spacing w:before="1"/>
        <w:ind w:firstLine="589"/>
        <w:rPr>
          <w:rFonts w:ascii="楷体" w:hAnsi="楷体" w:eastAsia="楷体" w:cs="楷体"/>
          <w:sz w:val="28"/>
          <w:szCs w:val="28"/>
        </w:rPr>
      </w:pPr>
      <w:r>
        <w:rPr>
          <w:rFonts w:hint="eastAsia" w:ascii="楷体" w:hAnsi="楷体" w:eastAsia="楷体" w:cs="楷体"/>
          <w:sz w:val="28"/>
          <w:szCs w:val="28"/>
          <w14:textOutline w14:w="5003" w14:cap="flat" w14:cmpd="sng" w14:algn="ctr">
            <w14:solidFill>
              <w14:srgbClr w14:val="000000"/>
            </w14:solidFill>
            <w14:prstDash w14:val="solid"/>
            <w14:miter w14:val="0"/>
          </w14:textOutline>
        </w:rPr>
        <w:t>报告范围</w:t>
      </w:r>
    </w:p>
    <w:p>
      <w:pPr>
        <w:spacing w:before="318"/>
        <w:ind w:firstLine="589"/>
        <w:rPr>
          <w:rFonts w:ascii="楷体" w:hAnsi="楷体" w:eastAsia="楷体" w:cs="楷体"/>
          <w:sz w:val="28"/>
          <w:szCs w:val="28"/>
        </w:rPr>
      </w:pPr>
      <w:r>
        <w:rPr>
          <w:rFonts w:hint="eastAsia" w:ascii="楷体" w:hAnsi="楷体" w:eastAsia="楷体" w:cs="楷体"/>
          <w:spacing w:val="-9"/>
          <w:sz w:val="28"/>
          <w:szCs w:val="28"/>
        </w:rPr>
        <w:t>报告以天顺风能（苏州）股份有限公司新能源制造板块母公司苏州天顺风能设备有限公司作为报告主体，涵盖制造板块所有各子公司，包括但不限于苏州天顺新能源科技有限公司等。</w:t>
      </w:r>
    </w:p>
    <w:p>
      <w:pPr>
        <w:spacing w:before="348"/>
        <w:ind w:firstLine="589"/>
        <w:rPr>
          <w:rFonts w:ascii="楷体" w:hAnsi="楷体" w:eastAsia="楷体" w:cs="楷体"/>
          <w:sz w:val="28"/>
          <w:szCs w:val="28"/>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报告主要参照标准</w:t>
      </w:r>
    </w:p>
    <w:p>
      <w:pPr>
        <w:spacing w:before="318"/>
        <w:ind w:firstLine="589"/>
        <w:rPr>
          <w:rFonts w:ascii="楷体" w:hAnsi="楷体" w:eastAsia="楷体" w:cs="楷体"/>
          <w:spacing w:val="-9"/>
          <w:sz w:val="28"/>
          <w:szCs w:val="28"/>
        </w:rPr>
      </w:pPr>
      <w:r>
        <w:rPr>
          <w:rFonts w:hint="eastAsia" w:ascii="楷体" w:hAnsi="楷体" w:eastAsia="楷体" w:cs="楷体"/>
          <w:spacing w:val="-9"/>
          <w:sz w:val="28"/>
          <w:szCs w:val="28"/>
        </w:rPr>
        <w:t>《深圳证券交易所上市公司自律监管指引第1号—主板上市公司规范运作》</w:t>
      </w:r>
    </w:p>
    <w:p>
      <w:pPr>
        <w:spacing w:before="318"/>
        <w:ind w:firstLine="589"/>
        <w:rPr>
          <w:rFonts w:ascii="楷体" w:hAnsi="楷体" w:eastAsia="楷体" w:cs="楷体"/>
          <w:spacing w:val="-9"/>
          <w:sz w:val="28"/>
          <w:szCs w:val="28"/>
        </w:rPr>
      </w:pPr>
      <w:r>
        <w:rPr>
          <w:rFonts w:hint="eastAsia" w:ascii="楷体" w:hAnsi="楷体" w:eastAsia="楷体" w:cs="楷体"/>
          <w:spacing w:val="-9"/>
          <w:sz w:val="28"/>
          <w:szCs w:val="28"/>
        </w:rPr>
        <w:t>《社会责任指南》（GB/T36000-2015）</w:t>
      </w:r>
    </w:p>
    <w:p>
      <w:pPr>
        <w:rPr>
          <w:rFonts w:ascii="楷体" w:hAnsi="楷体" w:eastAsia="楷体" w:cs="楷体"/>
        </w:rPr>
        <w:sectPr>
          <w:footerReference r:id="rId4" w:type="default"/>
          <w:pgSz w:w="11905" w:h="16836"/>
          <w:pgMar w:top="1431" w:right="1785" w:bottom="1386" w:left="1785" w:header="0" w:footer="1260" w:gutter="0"/>
          <w:cols w:space="720" w:num="1"/>
        </w:sectPr>
      </w:pPr>
    </w:p>
    <w:p>
      <w:pPr>
        <w:spacing w:before="107"/>
        <w:ind w:firstLine="3626"/>
        <w:rPr>
          <w:rFonts w:ascii="楷体" w:hAnsi="楷体" w:eastAsia="楷体" w:cs="楷体"/>
          <w:sz w:val="44"/>
          <w:szCs w:val="44"/>
        </w:rPr>
      </w:pPr>
      <w:r>
        <w:rPr>
          <w:rFonts w:hint="eastAsia" w:ascii="楷体" w:hAnsi="楷体" w:eastAsia="楷体" w:cs="楷体"/>
          <w:spacing w:val="-43"/>
          <w:w w:val="98"/>
          <w:sz w:val="44"/>
          <w:szCs w:val="44"/>
          <w14:textOutline w14:w="8064" w14:cap="flat" w14:cmpd="sng" w14:algn="ctr">
            <w14:solidFill>
              <w14:srgbClr w14:val="000000"/>
            </w14:solidFill>
            <w14:prstDash w14:val="solid"/>
            <w14:miter w14:val="0"/>
          </w14:textOutline>
        </w:rPr>
        <w:t>目</w:t>
      </w:r>
      <w:r>
        <w:rPr>
          <w:rFonts w:hint="eastAsia" w:ascii="楷体" w:hAnsi="楷体" w:eastAsia="楷体" w:cs="楷体"/>
          <w:spacing w:val="200"/>
          <w:sz w:val="44"/>
          <w:szCs w:val="44"/>
        </w:rPr>
        <w:t xml:space="preserve"> </w:t>
      </w:r>
      <w:r>
        <w:rPr>
          <w:rFonts w:hint="eastAsia" w:ascii="楷体" w:hAnsi="楷体" w:eastAsia="楷体" w:cs="楷体"/>
          <w:spacing w:val="-43"/>
          <w:w w:val="98"/>
          <w:sz w:val="44"/>
          <w:szCs w:val="44"/>
          <w14:textOutline w14:w="8064" w14:cap="flat" w14:cmpd="sng" w14:algn="ctr">
            <w14:solidFill>
              <w14:srgbClr w14:val="000000"/>
            </w14:solidFill>
            <w14:prstDash w14:val="solid"/>
            <w14:miter w14:val="0"/>
          </w14:textOutline>
        </w:rPr>
        <w:t>录</w:t>
      </w:r>
    </w:p>
    <w:p>
      <w:pPr>
        <w:rPr>
          <w:rFonts w:ascii="楷体" w:hAnsi="楷体" w:eastAsia="楷体" w:cs="楷体"/>
        </w:rPr>
      </w:pPr>
    </w:p>
    <w:p>
      <w:pPr>
        <w:rPr>
          <w:rFonts w:ascii="楷体" w:hAnsi="楷体" w:eastAsia="楷体" w:cs="楷体"/>
        </w:rPr>
      </w:pPr>
    </w:p>
    <w:p>
      <w:pPr>
        <w:rPr>
          <w:rFonts w:ascii="楷体" w:hAnsi="楷体" w:eastAsia="楷体" w:cs="楷体"/>
        </w:rPr>
      </w:pPr>
    </w:p>
    <w:p>
      <w:pPr>
        <w:numPr>
          <w:ilvl w:val="0"/>
          <w:numId w:val="1"/>
        </w:numPr>
        <w:spacing w:before="318"/>
        <w:ind w:firstLine="589"/>
        <w:rPr>
          <w:rFonts w:ascii="楷体" w:hAnsi="楷体" w:eastAsia="楷体" w:cs="楷体"/>
          <w:spacing w:val="-9"/>
          <w:sz w:val="28"/>
          <w:szCs w:val="28"/>
        </w:rPr>
      </w:pPr>
      <w:r>
        <w:rPr>
          <w:rFonts w:hint="eastAsia" w:ascii="楷体" w:hAnsi="楷体" w:eastAsia="楷体" w:cs="楷体"/>
          <w:spacing w:val="-9"/>
          <w:sz w:val="28"/>
          <w:szCs w:val="28"/>
        </w:rPr>
        <w:t>公司概况....................................4</w:t>
      </w:r>
    </w:p>
    <w:p>
      <w:pPr>
        <w:numPr>
          <w:ilvl w:val="0"/>
          <w:numId w:val="1"/>
        </w:numPr>
        <w:spacing w:before="318"/>
        <w:ind w:firstLine="589"/>
        <w:rPr>
          <w:rFonts w:ascii="楷体" w:hAnsi="楷体" w:eastAsia="楷体" w:cs="楷体"/>
          <w:spacing w:val="-9"/>
          <w:sz w:val="28"/>
          <w:szCs w:val="28"/>
        </w:rPr>
      </w:pPr>
      <w:r>
        <w:rPr>
          <w:rFonts w:hint="eastAsia" w:ascii="楷体" w:hAnsi="楷体" w:eastAsia="楷体" w:cs="楷体"/>
          <w:spacing w:val="-9"/>
          <w:sz w:val="28"/>
          <w:szCs w:val="28"/>
        </w:rPr>
        <w:t>股东权益保护 ...............................4</w:t>
      </w:r>
    </w:p>
    <w:p>
      <w:pPr>
        <w:numPr>
          <w:ilvl w:val="0"/>
          <w:numId w:val="1"/>
        </w:numPr>
        <w:spacing w:before="318"/>
        <w:ind w:firstLine="589"/>
        <w:rPr>
          <w:rFonts w:ascii="楷体" w:hAnsi="楷体" w:eastAsia="楷体" w:cs="楷体"/>
          <w:spacing w:val="-9"/>
          <w:sz w:val="28"/>
          <w:szCs w:val="28"/>
        </w:rPr>
      </w:pPr>
      <w:r>
        <w:rPr>
          <w:rFonts w:hint="eastAsia" w:ascii="楷体" w:hAnsi="楷体" w:eastAsia="楷体" w:cs="楷体"/>
          <w:spacing w:val="-9"/>
          <w:sz w:val="28"/>
          <w:szCs w:val="28"/>
        </w:rPr>
        <w:t xml:space="preserve">员工权益保护................................7  </w:t>
      </w:r>
    </w:p>
    <w:p>
      <w:pPr>
        <w:numPr>
          <w:ilvl w:val="0"/>
          <w:numId w:val="1"/>
        </w:numPr>
        <w:spacing w:before="318"/>
        <w:ind w:firstLine="589"/>
        <w:rPr>
          <w:rFonts w:ascii="楷体" w:hAnsi="楷体" w:eastAsia="楷体" w:cs="楷体"/>
          <w:spacing w:val="-9"/>
          <w:sz w:val="28"/>
          <w:szCs w:val="28"/>
        </w:rPr>
      </w:pPr>
      <w:r>
        <w:rPr>
          <w:rFonts w:hint="eastAsia" w:ascii="楷体" w:hAnsi="楷体" w:eastAsia="楷体" w:cs="楷体"/>
          <w:spacing w:val="-9"/>
          <w:sz w:val="28"/>
          <w:szCs w:val="28"/>
        </w:rPr>
        <w:t xml:space="preserve">诚信经营、供应商及客户权益保护..............9 </w:t>
      </w:r>
    </w:p>
    <w:p>
      <w:pPr>
        <w:numPr>
          <w:ilvl w:val="0"/>
          <w:numId w:val="1"/>
        </w:numPr>
        <w:spacing w:before="318"/>
        <w:ind w:firstLine="589"/>
        <w:rPr>
          <w:rFonts w:ascii="楷体" w:hAnsi="楷体" w:eastAsia="楷体" w:cs="楷体"/>
          <w:spacing w:val="-9"/>
          <w:sz w:val="28"/>
          <w:szCs w:val="28"/>
        </w:rPr>
      </w:pPr>
      <w:r>
        <w:rPr>
          <w:rFonts w:hint="eastAsia" w:ascii="楷体" w:hAnsi="楷体" w:eastAsia="楷体" w:cs="楷体"/>
          <w:spacing w:val="-9"/>
          <w:sz w:val="28"/>
          <w:szCs w:val="28"/>
        </w:rPr>
        <w:t>环境保护....................................11</w:t>
      </w:r>
    </w:p>
    <w:p>
      <w:pPr>
        <w:spacing w:before="318"/>
        <w:ind w:left="589"/>
        <w:rPr>
          <w:rFonts w:ascii="楷体" w:hAnsi="楷体" w:eastAsia="楷体" w:cs="楷体"/>
          <w:spacing w:val="-9"/>
          <w:sz w:val="28"/>
          <w:szCs w:val="28"/>
        </w:rPr>
      </w:pPr>
      <w:r>
        <w:rPr>
          <w:rFonts w:hint="eastAsia" w:ascii="楷体" w:hAnsi="楷体" w:eastAsia="楷体" w:cs="楷体"/>
          <w:spacing w:val="-9"/>
          <w:sz w:val="28"/>
          <w:szCs w:val="28"/>
        </w:rPr>
        <w:fldChar w:fldCharType="begin"/>
      </w:r>
      <w:r>
        <w:rPr>
          <w:rFonts w:hint="eastAsia" w:ascii="楷体" w:hAnsi="楷体" w:eastAsia="楷体" w:cs="楷体"/>
          <w:spacing w:val="-9"/>
          <w:sz w:val="28"/>
          <w:szCs w:val="28"/>
        </w:rPr>
        <w:instrText xml:space="preserve"> HYPERLINK \l "_bookmark1" </w:instrText>
      </w:r>
      <w:r>
        <w:rPr>
          <w:rFonts w:hint="eastAsia" w:ascii="楷体" w:hAnsi="楷体" w:eastAsia="楷体" w:cs="楷体"/>
          <w:spacing w:val="-9"/>
          <w:sz w:val="28"/>
          <w:szCs w:val="28"/>
        </w:rPr>
        <w:fldChar w:fldCharType="separate"/>
      </w:r>
      <w:r>
        <w:rPr>
          <w:rFonts w:hint="eastAsia" w:ascii="楷体" w:hAnsi="楷体" w:eastAsia="楷体" w:cs="楷体"/>
          <w:spacing w:val="-9"/>
          <w:sz w:val="28"/>
          <w:szCs w:val="28"/>
        </w:rPr>
        <w:t>第六章 公共关系和社会公益事业.....................14</w:t>
      </w:r>
    </w:p>
    <w:p>
      <w:pPr>
        <w:spacing w:before="318"/>
        <w:ind w:left="589"/>
        <w:rPr>
          <w:rFonts w:ascii="楷体" w:hAnsi="楷体" w:eastAsia="楷体" w:cs="楷体"/>
        </w:rPr>
        <w:sectPr>
          <w:footerReference r:id="rId5" w:type="default"/>
          <w:pgSz w:w="11905" w:h="16836"/>
          <w:pgMar w:top="1431" w:right="1069" w:bottom="1385" w:left="1785" w:header="0" w:footer="1260" w:gutter="0"/>
          <w:cols w:space="720" w:num="1"/>
        </w:sectPr>
      </w:pPr>
      <w:r>
        <w:rPr>
          <w:rFonts w:hint="eastAsia" w:ascii="楷体" w:hAnsi="楷体" w:eastAsia="楷体" w:cs="楷体"/>
          <w:spacing w:val="-9"/>
          <w:sz w:val="28"/>
          <w:szCs w:val="28"/>
        </w:rPr>
        <w:fldChar w:fldCharType="end"/>
      </w:r>
      <w:r>
        <w:rPr>
          <w:rFonts w:hint="eastAsia" w:ascii="楷体" w:hAnsi="楷体" w:eastAsia="楷体" w:cs="楷体"/>
          <w:spacing w:val="-9"/>
          <w:sz w:val="28"/>
          <w:szCs w:val="28"/>
        </w:rPr>
        <w:t>结束语.............................................16</w:t>
      </w:r>
    </w:p>
    <w:p>
      <w:pPr>
        <w:rPr>
          <w:rFonts w:ascii="楷体" w:hAnsi="楷体" w:eastAsia="楷体" w:cs="楷体"/>
        </w:rPr>
      </w:pPr>
    </w:p>
    <w:p>
      <w:pPr>
        <w:spacing w:before="143"/>
        <w:ind w:firstLine="2460"/>
        <w:outlineLvl w:val="0"/>
        <w:rPr>
          <w:rFonts w:ascii="楷体" w:hAnsi="楷体" w:eastAsia="楷体" w:cs="楷体"/>
          <w:sz w:val="44"/>
          <w:szCs w:val="44"/>
        </w:rPr>
      </w:pPr>
      <w:r>
        <w:rPr>
          <w:rFonts w:hint="eastAsia" w:ascii="楷体" w:hAnsi="楷体" w:eastAsia="楷体" w:cs="楷体"/>
          <w:spacing w:val="-2"/>
          <w:sz w:val="44"/>
          <w:szCs w:val="44"/>
          <w14:textOutline w14:w="8064" w14:cap="flat" w14:cmpd="sng" w14:algn="ctr">
            <w14:solidFill>
              <w14:srgbClr w14:val="000000"/>
            </w14:solidFill>
            <w14:prstDash w14:val="solid"/>
            <w14:miter w14:val="0"/>
          </w14:textOutline>
        </w:rPr>
        <w:t>第一章</w:t>
      </w:r>
      <w:r>
        <w:rPr>
          <w:rFonts w:hint="eastAsia" w:ascii="楷体" w:hAnsi="楷体" w:eastAsia="楷体" w:cs="楷体"/>
          <w:spacing w:val="159"/>
          <w:sz w:val="44"/>
          <w:szCs w:val="44"/>
        </w:rPr>
        <w:t xml:space="preserve"> </w:t>
      </w:r>
      <w:r>
        <w:rPr>
          <w:rFonts w:hint="eastAsia" w:ascii="楷体" w:hAnsi="楷体" w:eastAsia="楷体" w:cs="楷体"/>
          <w:spacing w:val="-2"/>
          <w:sz w:val="44"/>
          <w:szCs w:val="44"/>
          <w14:textOutline w14:w="8064" w14:cap="flat" w14:cmpd="sng" w14:algn="ctr">
            <w14:solidFill>
              <w14:srgbClr w14:val="000000"/>
            </w14:solidFill>
            <w14:prstDash w14:val="solid"/>
            <w14:miter w14:val="0"/>
          </w14:textOutline>
        </w:rPr>
        <w:t>公司概况</w:t>
      </w:r>
    </w:p>
    <w:p>
      <w:pPr>
        <w:rPr>
          <w:rFonts w:ascii="楷体" w:hAnsi="楷体" w:eastAsia="楷体" w:cs="楷体"/>
        </w:rPr>
      </w:pPr>
    </w:p>
    <w:p>
      <w:pPr>
        <w:rPr>
          <w:rFonts w:ascii="楷体" w:hAnsi="楷体" w:eastAsia="楷体" w:cs="楷体"/>
        </w:rPr>
      </w:pPr>
    </w:p>
    <w:p>
      <w:pPr>
        <w:spacing w:before="91"/>
        <w:ind w:left="24" w:right="106" w:firstLine="567"/>
        <w:rPr>
          <w:rFonts w:ascii="楷体" w:hAnsi="楷体" w:eastAsia="楷体" w:cs="楷体"/>
          <w:spacing w:val="-8"/>
          <w:sz w:val="28"/>
          <w:szCs w:val="28"/>
        </w:rPr>
      </w:pPr>
      <w:r>
        <w:rPr>
          <w:rFonts w:hint="eastAsia" w:ascii="楷体" w:hAnsi="楷体" w:eastAsia="楷体" w:cs="楷体"/>
          <w:spacing w:val="-9"/>
          <w:sz w:val="28"/>
          <w:szCs w:val="28"/>
        </w:rPr>
        <w:t>天顺风能（苏州）股份有限公司（简称“天顺风能”或“公司”）</w:t>
      </w:r>
      <w:r>
        <w:rPr>
          <w:rFonts w:hint="eastAsia" w:ascii="楷体" w:hAnsi="楷体" w:eastAsia="楷体" w:cs="楷体"/>
          <w:spacing w:val="-5"/>
          <w:sz w:val="28"/>
          <w:szCs w:val="28"/>
        </w:rPr>
        <w:t>，</w:t>
      </w:r>
      <w:r>
        <w:rPr>
          <w:rFonts w:hint="eastAsia" w:ascii="楷体" w:hAnsi="楷体" w:eastAsia="楷体" w:cs="楷体"/>
          <w:spacing w:val="-9"/>
          <w:sz w:val="28"/>
          <w:szCs w:val="28"/>
        </w:rPr>
        <w:t>位</w:t>
      </w:r>
      <w:r>
        <w:rPr>
          <w:rFonts w:hint="eastAsia" w:ascii="楷体" w:hAnsi="楷体" w:eastAsia="楷体" w:cs="楷体"/>
          <w:spacing w:val="-8"/>
          <w:sz w:val="28"/>
          <w:szCs w:val="28"/>
        </w:rPr>
        <w:t>于江苏省太仓市，于2010年12月在深圳证券交易所上市，股票简称：天顺风能，股票代码：002531。</w:t>
      </w:r>
    </w:p>
    <w:p>
      <w:pPr>
        <w:spacing w:before="91"/>
        <w:ind w:left="24" w:right="106" w:firstLine="567"/>
        <w:rPr>
          <w:rFonts w:ascii="楷体" w:hAnsi="楷体" w:eastAsia="楷体" w:cs="楷体"/>
          <w:spacing w:val="-9"/>
          <w:sz w:val="28"/>
          <w:szCs w:val="28"/>
        </w:rPr>
      </w:pPr>
      <w:r>
        <w:rPr>
          <w:rFonts w:hint="eastAsia" w:ascii="楷体" w:hAnsi="楷体" w:eastAsia="楷体" w:cs="楷体"/>
          <w:spacing w:val="-9"/>
          <w:sz w:val="28"/>
          <w:szCs w:val="28"/>
        </w:rPr>
        <w:t>天顺风能从2005年成立以来，始终坚持在风电领域深耕发展，一方面不断巩固自身在风塔细分领域的全球领先地位，另一方面在风电产业链内积极进行相关多元化业务布局。公司主要从事风塔及零部件的生产和销售，风电叶片及模具的生产和销售，风电场项目的开发投资、建设和运营业务。</w:t>
      </w:r>
    </w:p>
    <w:p>
      <w:pPr>
        <w:spacing w:before="91"/>
        <w:ind w:left="24" w:right="106" w:firstLine="567"/>
        <w:rPr>
          <w:rFonts w:ascii="楷体" w:hAnsi="楷体" w:eastAsia="楷体" w:cs="楷体"/>
          <w:spacing w:val="-9"/>
          <w:sz w:val="28"/>
          <w:szCs w:val="28"/>
        </w:rPr>
      </w:pPr>
      <w:r>
        <w:rPr>
          <w:rFonts w:hint="eastAsia" w:ascii="楷体" w:hAnsi="楷体" w:eastAsia="楷体" w:cs="楷体"/>
          <w:spacing w:val="-9"/>
          <w:sz w:val="28"/>
          <w:szCs w:val="28"/>
        </w:rPr>
        <w:t>公司经过多年发展，目前已成长为全球最具规模的风塔、叶片装备制造龙头企业。截止2021年12月，公司在中国有</w:t>
      </w:r>
      <w:r>
        <w:rPr>
          <w:rFonts w:ascii="楷体" w:hAnsi="楷体" w:eastAsia="楷体" w:cs="楷体"/>
          <w:spacing w:val="-9"/>
          <w:sz w:val="28"/>
          <w:szCs w:val="28"/>
        </w:rPr>
        <w:t>4</w:t>
      </w:r>
      <w:r>
        <w:rPr>
          <w:rFonts w:hint="eastAsia" w:ascii="楷体" w:hAnsi="楷体" w:eastAsia="楷体" w:cs="楷体"/>
          <w:spacing w:val="-9"/>
          <w:sz w:val="28"/>
          <w:szCs w:val="28"/>
        </w:rPr>
        <w:t>个塔架生产基地、2个叶片生产基地，累计实现并网容量约884MW。</w:t>
      </w:r>
    </w:p>
    <w:p>
      <w:pPr>
        <w:spacing w:before="91"/>
        <w:ind w:left="24" w:right="106" w:firstLine="567"/>
        <w:rPr>
          <w:rFonts w:ascii="楷体" w:hAnsi="楷体" w:eastAsia="楷体" w:cs="楷体"/>
          <w:spacing w:val="-9"/>
          <w:sz w:val="28"/>
          <w:szCs w:val="28"/>
        </w:rPr>
      </w:pPr>
    </w:p>
    <w:p>
      <w:pPr>
        <w:rPr>
          <w:rFonts w:ascii="楷体" w:hAnsi="楷体" w:eastAsia="楷体" w:cs="楷体"/>
        </w:rPr>
      </w:pPr>
    </w:p>
    <w:p>
      <w:pPr>
        <w:spacing w:before="144"/>
        <w:ind w:firstLine="2015"/>
        <w:outlineLvl w:val="0"/>
        <w:rPr>
          <w:rFonts w:ascii="楷体" w:hAnsi="楷体" w:eastAsia="楷体" w:cs="楷体"/>
          <w:sz w:val="44"/>
          <w:szCs w:val="44"/>
        </w:rPr>
      </w:pPr>
      <w:r>
        <w:rPr>
          <w:rFonts w:hint="eastAsia" w:ascii="楷体" w:hAnsi="楷体" w:eastAsia="楷体" w:cs="楷体"/>
          <w:sz w:val="44"/>
          <w:szCs w:val="44"/>
          <w14:textOutline w14:w="8064" w14:cap="flat" w14:cmpd="sng" w14:algn="ctr">
            <w14:solidFill>
              <w14:srgbClr w14:val="000000"/>
            </w14:solidFill>
            <w14:prstDash w14:val="solid"/>
            <w14:miter w14:val="0"/>
          </w14:textOutline>
        </w:rPr>
        <w:t>第二章</w:t>
      </w:r>
      <w:r>
        <w:rPr>
          <w:rFonts w:hint="eastAsia" w:ascii="楷体" w:hAnsi="楷体" w:eastAsia="楷体" w:cs="楷体"/>
          <w:spacing w:val="151"/>
          <w:sz w:val="44"/>
          <w:szCs w:val="44"/>
        </w:rPr>
        <w:t xml:space="preserve"> </w:t>
      </w:r>
      <w:r>
        <w:rPr>
          <w:rFonts w:hint="eastAsia" w:ascii="楷体" w:hAnsi="楷体" w:eastAsia="楷体" w:cs="楷体"/>
          <w:sz w:val="44"/>
          <w:szCs w:val="44"/>
          <w14:textOutline w14:w="8064" w14:cap="flat" w14:cmpd="sng" w14:algn="ctr">
            <w14:solidFill>
              <w14:srgbClr w14:val="000000"/>
            </w14:solidFill>
            <w14:prstDash w14:val="solid"/>
            <w14:miter w14:val="0"/>
          </w14:textOutline>
        </w:rPr>
        <w:t>股东权益保护</w:t>
      </w:r>
    </w:p>
    <w:p>
      <w:pPr>
        <w:rPr>
          <w:rFonts w:ascii="楷体" w:hAnsi="楷体" w:eastAsia="楷体" w:cs="楷体"/>
        </w:rPr>
      </w:pPr>
    </w:p>
    <w:p>
      <w:pPr>
        <w:rPr>
          <w:rFonts w:ascii="楷体" w:hAnsi="楷体" w:eastAsia="楷体" w:cs="楷体"/>
        </w:rPr>
      </w:pPr>
    </w:p>
    <w:p>
      <w:pPr>
        <w:spacing w:before="92"/>
        <w:ind w:firstLine="420"/>
        <w:outlineLvl w:val="1"/>
        <w:rPr>
          <w:rFonts w:ascii="楷体" w:hAnsi="楷体" w:eastAsia="楷体" w:cs="楷体"/>
          <w:sz w:val="28"/>
          <w:szCs w:val="28"/>
        </w:rPr>
      </w:pPr>
      <w:r>
        <w:rPr>
          <w:rFonts w:hint="eastAsia" w:ascii="楷体" w:hAnsi="楷体" w:eastAsia="楷体" w:cs="楷体"/>
          <w:spacing w:val="-27"/>
          <w:w w:val="98"/>
          <w:sz w:val="28"/>
          <w:szCs w:val="28"/>
          <w14:textOutline w14:w="5003" w14:cap="flat" w14:cmpd="sng" w14:algn="ctr">
            <w14:solidFill>
              <w14:srgbClr w14:val="000000"/>
            </w14:solidFill>
            <w14:prstDash w14:val="solid"/>
            <w14:miter w14:val="0"/>
          </w14:textOutline>
        </w:rPr>
        <w:t>一、</w:t>
      </w:r>
      <w:r>
        <w:rPr>
          <w:rFonts w:hint="eastAsia" w:ascii="楷体" w:hAnsi="楷体" w:eastAsia="楷体" w:cs="楷体"/>
          <w:spacing w:val="45"/>
          <w:sz w:val="28"/>
          <w:szCs w:val="28"/>
        </w:rPr>
        <w:t xml:space="preserve"> </w:t>
      </w:r>
      <w:r>
        <w:rPr>
          <w:rFonts w:hint="eastAsia" w:ascii="楷体" w:hAnsi="楷体" w:eastAsia="楷体" w:cs="楷体"/>
          <w:spacing w:val="-27"/>
          <w:w w:val="98"/>
          <w:sz w:val="28"/>
          <w:szCs w:val="28"/>
          <w14:textOutline w14:w="5003" w14:cap="flat" w14:cmpd="sng" w14:algn="ctr">
            <w14:solidFill>
              <w14:srgbClr w14:val="000000"/>
            </w14:solidFill>
            <w14:prstDash w14:val="solid"/>
            <w14:miter w14:val="0"/>
          </w14:textOutline>
        </w:rPr>
        <w:t>公司治理</w:t>
      </w:r>
    </w:p>
    <w:p>
      <w:pPr>
        <w:spacing w:before="313"/>
        <w:ind w:firstLine="419" w:firstLineChars="160"/>
        <w:rPr>
          <w:rFonts w:ascii="楷体" w:hAnsi="楷体" w:eastAsia="楷体" w:cs="楷体"/>
          <w:spacing w:val="-9"/>
          <w:sz w:val="28"/>
          <w:szCs w:val="28"/>
        </w:rPr>
      </w:pPr>
      <w:r>
        <w:rPr>
          <w:rFonts w:hint="eastAsia" w:ascii="楷体" w:hAnsi="楷体" w:eastAsia="楷体" w:cs="楷体"/>
          <w:spacing w:val="-9"/>
          <w:sz w:val="28"/>
          <w:szCs w:val="28"/>
        </w:rPr>
        <w:t>公司严格按照《公司法》《证券法》《上市公司治理准则》《深圳证券交易所股票上市规则》《深圳证券交易所上市公司规范运作指引》及中国证监会有关规定等相关法律法规的要求， 制定了《公司章程》《股东大会规则》《董事会规则》《监事会规则》和《独立董事工作制度》等各种规章制度，明确了股东大会、董事会、监事会和经理层在决策、监督、执行等各个方面的职责权限、程序以及应履行的义务，形成了权力机构、决策机构、监督机构和经营机构科学分工、各司其责、有效制衡的治理结构。</w:t>
      </w:r>
    </w:p>
    <w:p>
      <w:pPr>
        <w:spacing w:before="92"/>
        <w:ind w:firstLine="420"/>
        <w:outlineLvl w:val="1"/>
        <w:rPr>
          <w:rFonts w:ascii="楷体" w:hAnsi="楷体" w:eastAsia="楷体" w:cs="楷体"/>
          <w:spacing w:val="-27"/>
          <w:w w:val="98"/>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27"/>
          <w:w w:val="98"/>
          <w:sz w:val="28"/>
          <w:szCs w:val="28"/>
          <w14:textOutline w14:w="5003" w14:cap="flat" w14:cmpd="sng" w14:algn="ctr">
            <w14:solidFill>
              <w14:srgbClr w14:val="000000"/>
            </w14:solidFill>
            <w14:prstDash w14:val="solid"/>
            <w14:miter w14:val="0"/>
          </w14:textOutline>
        </w:rPr>
        <w:t>二、</w:t>
      </w:r>
      <w:r>
        <w:rPr>
          <w:rFonts w:ascii="楷体" w:hAnsi="楷体" w:eastAsia="楷体" w:cs="楷体"/>
          <w:spacing w:val="-27"/>
          <w:w w:val="98"/>
          <w:sz w:val="28"/>
          <w:szCs w:val="28"/>
          <w14:textOutline w14:w="5003" w14:cap="flat" w14:cmpd="sng" w14:algn="ctr">
            <w14:solidFill>
              <w14:srgbClr w14:val="000000"/>
            </w14:solidFill>
            <w14:prstDash w14:val="solid"/>
            <w14:miter w14:val="0"/>
          </w14:textOutline>
        </w:rPr>
        <w:t xml:space="preserve"> </w:t>
      </w:r>
      <w:r>
        <w:rPr>
          <w:rFonts w:hint="eastAsia" w:ascii="楷体" w:hAnsi="楷体" w:eastAsia="楷体" w:cs="楷体"/>
          <w:spacing w:val="-27"/>
          <w:w w:val="98"/>
          <w:sz w:val="28"/>
          <w:szCs w:val="28"/>
          <w14:textOutline w14:w="5003" w14:cap="flat" w14:cmpd="sng" w14:algn="ctr">
            <w14:solidFill>
              <w14:srgbClr w14:val="000000"/>
            </w14:solidFill>
            <w14:prstDash w14:val="solid"/>
            <w14:miter w14:val="0"/>
          </w14:textOutline>
        </w:rPr>
        <w:t>股东大会、董事会、监事会运行情况</w:t>
      </w:r>
    </w:p>
    <w:p>
      <w:pPr>
        <w:spacing w:before="344"/>
        <w:ind w:firstLine="524" w:firstLineChars="200"/>
        <w:rPr>
          <w:rFonts w:ascii="楷体" w:hAnsi="楷体" w:eastAsia="楷体" w:cs="楷体"/>
          <w:spacing w:val="-9"/>
          <w:sz w:val="28"/>
          <w:szCs w:val="28"/>
        </w:rPr>
      </w:pPr>
      <w:r>
        <w:rPr>
          <w:rFonts w:hint="eastAsia" w:ascii="楷体" w:hAnsi="楷体" w:eastAsia="楷体" w:cs="楷体"/>
          <w:spacing w:val="-9"/>
          <w:sz w:val="28"/>
          <w:szCs w:val="28"/>
        </w:rPr>
        <w:t>1、股东大会</w:t>
      </w:r>
    </w:p>
    <w:p>
      <w:pPr>
        <w:spacing w:before="344"/>
        <w:ind w:firstLine="419" w:firstLineChars="160"/>
        <w:rPr>
          <w:rFonts w:ascii="楷体" w:hAnsi="楷体" w:eastAsia="楷体" w:cs="楷体"/>
          <w:spacing w:val="-6"/>
          <w:sz w:val="28"/>
          <w:szCs w:val="28"/>
        </w:rPr>
      </w:pPr>
      <w:r>
        <w:rPr>
          <w:rFonts w:hint="eastAsia" w:ascii="楷体" w:hAnsi="楷体" w:eastAsia="楷体" w:cs="楷体"/>
          <w:spacing w:val="-9"/>
          <w:sz w:val="28"/>
          <w:szCs w:val="28"/>
        </w:rPr>
        <w:t>公司按照《公司法》《上市公司股东大会规则》《公司章程》</w:t>
      </w:r>
      <w:r>
        <w:rPr>
          <w:rFonts w:hint="eastAsia" w:ascii="楷体" w:hAnsi="楷体" w:eastAsia="楷体" w:cs="楷体"/>
          <w:spacing w:val="-6"/>
          <w:sz w:val="28"/>
          <w:szCs w:val="28"/>
        </w:rPr>
        <w:t>和《股东大会规则》的规定，确保公司股东权利的行使和股东大会运作规范，确保股东权益。股东大会全部采用会议现场投票和网络</w:t>
      </w:r>
      <w:r>
        <w:rPr>
          <w:rFonts w:hint="eastAsia" w:ascii="楷体" w:hAnsi="楷体" w:eastAsia="楷体" w:cs="楷体"/>
          <w:spacing w:val="-13"/>
          <w:sz w:val="28"/>
          <w:szCs w:val="28"/>
        </w:rPr>
        <w:t>投票相结合的表决方式，保障股东依法行使权利，有效促进公司规范</w:t>
      </w:r>
      <w:r>
        <w:rPr>
          <w:rFonts w:hint="eastAsia" w:ascii="楷体" w:hAnsi="楷体" w:eastAsia="楷体" w:cs="楷体"/>
          <w:spacing w:val="-6"/>
          <w:sz w:val="28"/>
          <w:szCs w:val="28"/>
        </w:rPr>
        <w:t>运营。</w:t>
      </w:r>
    </w:p>
    <w:p>
      <w:pPr>
        <w:spacing w:before="344"/>
        <w:ind w:firstLine="536" w:firstLineChars="200"/>
        <w:rPr>
          <w:rFonts w:ascii="楷体" w:hAnsi="楷体" w:eastAsia="楷体" w:cs="楷体"/>
          <w:spacing w:val="13"/>
          <w:sz w:val="28"/>
          <w:szCs w:val="28"/>
        </w:rPr>
      </w:pPr>
      <w:r>
        <w:rPr>
          <w:rFonts w:hint="eastAsia" w:ascii="楷体" w:hAnsi="楷体" w:eastAsia="楷体" w:cs="楷体"/>
          <w:spacing w:val="-6"/>
          <w:sz w:val="28"/>
          <w:szCs w:val="28"/>
        </w:rPr>
        <w:t>涉及影响中小投资者利益的重大事项，公司对中小投资者表决</w:t>
      </w:r>
      <w:r>
        <w:rPr>
          <w:rFonts w:hint="eastAsia" w:ascii="楷体" w:hAnsi="楷体" w:eastAsia="楷体" w:cs="楷体"/>
          <w:spacing w:val="-13"/>
          <w:sz w:val="28"/>
          <w:szCs w:val="28"/>
        </w:rPr>
        <w:t>单独计票并及时公开披露，确保所有股东享有平等地位，充分行使自</w:t>
      </w:r>
      <w:r>
        <w:rPr>
          <w:rFonts w:hint="eastAsia" w:ascii="楷体" w:hAnsi="楷体" w:eastAsia="楷体" w:cs="楷体"/>
          <w:spacing w:val="-6"/>
          <w:sz w:val="28"/>
          <w:szCs w:val="28"/>
        </w:rPr>
        <w:t>身权利，并通过聘请律师见证保证会议召集、召开和表决程序的合法</w:t>
      </w:r>
      <w:r>
        <w:rPr>
          <w:rFonts w:hint="eastAsia" w:ascii="楷体" w:hAnsi="楷体" w:eastAsia="楷体" w:cs="楷体"/>
          <w:spacing w:val="-24"/>
          <w:sz w:val="28"/>
          <w:szCs w:val="28"/>
        </w:rPr>
        <w:t>合规性，</w:t>
      </w:r>
      <w:r>
        <w:rPr>
          <w:rFonts w:hint="eastAsia" w:ascii="楷体" w:hAnsi="楷体" w:eastAsia="楷体" w:cs="楷体"/>
          <w:spacing w:val="84"/>
          <w:sz w:val="28"/>
          <w:szCs w:val="28"/>
        </w:rPr>
        <w:t xml:space="preserve"> </w:t>
      </w:r>
      <w:r>
        <w:rPr>
          <w:rFonts w:hint="eastAsia" w:ascii="楷体" w:hAnsi="楷体" w:eastAsia="楷体" w:cs="楷体"/>
          <w:spacing w:val="-24"/>
          <w:sz w:val="28"/>
          <w:szCs w:val="28"/>
        </w:rPr>
        <w:t>维护了公司和股东的合法权益。</w:t>
      </w:r>
      <w:r>
        <w:rPr>
          <w:rFonts w:hint="eastAsia" w:ascii="楷体" w:hAnsi="楷体" w:eastAsia="楷体" w:cs="楷体"/>
          <w:spacing w:val="13"/>
          <w:sz w:val="28"/>
          <w:szCs w:val="28"/>
        </w:rPr>
        <w:t xml:space="preserve"> </w:t>
      </w:r>
    </w:p>
    <w:p>
      <w:pPr>
        <w:spacing w:before="344"/>
        <w:ind w:firstLine="464" w:firstLineChars="200"/>
        <w:rPr>
          <w:rFonts w:ascii="楷体" w:hAnsi="楷体" w:eastAsia="楷体" w:cs="楷体"/>
          <w:spacing w:val="-7"/>
          <w:sz w:val="28"/>
          <w:szCs w:val="28"/>
        </w:rPr>
      </w:pPr>
      <w:r>
        <w:rPr>
          <w:rFonts w:hint="eastAsia" w:ascii="楷体" w:hAnsi="楷体" w:eastAsia="楷体" w:cs="楷体"/>
          <w:spacing w:val="-24"/>
          <w:sz w:val="28"/>
          <w:szCs w:val="28"/>
        </w:rPr>
        <w:t>2021年</w:t>
      </w:r>
      <w:r>
        <w:rPr>
          <w:rFonts w:hint="eastAsia" w:ascii="楷体" w:hAnsi="楷体" w:eastAsia="楷体" w:cs="楷体"/>
          <w:spacing w:val="-24"/>
          <w:sz w:val="28"/>
          <w:szCs w:val="28"/>
          <w:lang w:val="en-US" w:eastAsia="zh-CN"/>
        </w:rPr>
        <w:t>度</w:t>
      </w:r>
      <w:r>
        <w:rPr>
          <w:rFonts w:hint="eastAsia" w:ascii="楷体" w:hAnsi="楷体" w:eastAsia="楷体" w:cs="楷体"/>
          <w:spacing w:val="-24"/>
          <w:sz w:val="28"/>
          <w:szCs w:val="28"/>
        </w:rPr>
        <w:t>公司共召开2次股东</w:t>
      </w:r>
      <w:r>
        <w:rPr>
          <w:rFonts w:hint="eastAsia" w:ascii="楷体" w:hAnsi="楷体" w:eastAsia="楷体" w:cs="楷体"/>
          <w:spacing w:val="-7"/>
          <w:sz w:val="28"/>
          <w:szCs w:val="28"/>
        </w:rPr>
        <w:t>大会，审议通过了年度报告、利润分配等10个议案。</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2、董事会</w:t>
      </w:r>
    </w:p>
    <w:p>
      <w:pPr>
        <w:spacing w:before="344"/>
        <w:ind w:firstLine="548" w:firstLineChars="200"/>
        <w:rPr>
          <w:rFonts w:ascii="楷体" w:hAnsi="楷体" w:eastAsia="楷体" w:cs="楷体"/>
          <w:spacing w:val="-4"/>
          <w:sz w:val="28"/>
          <w:szCs w:val="28"/>
        </w:rPr>
      </w:pPr>
      <w:r>
        <w:rPr>
          <w:rFonts w:hint="eastAsia" w:ascii="楷体" w:hAnsi="楷体" w:eastAsia="楷体" w:cs="楷体"/>
          <w:spacing w:val="-3"/>
          <w:sz w:val="28"/>
          <w:szCs w:val="28"/>
        </w:rPr>
        <w:t>公司董事会由7名董事组成，其中公司董事3名、外部董事1名，</w:t>
      </w:r>
      <w:r>
        <w:rPr>
          <w:rFonts w:hint="eastAsia" w:ascii="楷体" w:hAnsi="楷体" w:eastAsia="楷体" w:cs="楷体"/>
          <w:spacing w:val="-1"/>
          <w:sz w:val="28"/>
          <w:szCs w:val="28"/>
        </w:rPr>
        <w:t>独立董事3名，独立董事占董事会人数的三分之一，董事会构成符合</w:t>
      </w:r>
      <w:r>
        <w:rPr>
          <w:rFonts w:hint="eastAsia" w:ascii="楷体" w:hAnsi="楷体" w:eastAsia="楷体" w:cs="楷体"/>
          <w:spacing w:val="-4"/>
          <w:sz w:val="28"/>
          <w:szCs w:val="28"/>
        </w:rPr>
        <w:t>有关法律、法规及规范性文件的要求。</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 xml:space="preserve">公司董事会下设四个专门委员会，各专门委员会成员全部由董事组成，其中审计委员会、提名委员会、薪酬与考核委员会中独立董事占多数并担任召集人，审计委员会中至少有一名独立董事是会计专业人士。各专门委员会对董事会负责，各专门委员会的提案提交董事会审查决定。 </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2021年</w:t>
      </w:r>
      <w:r>
        <w:rPr>
          <w:rFonts w:hint="eastAsia" w:ascii="楷体" w:hAnsi="楷体" w:eastAsia="楷体" w:cs="楷体"/>
          <w:spacing w:val="-3"/>
          <w:sz w:val="28"/>
          <w:szCs w:val="28"/>
          <w:lang w:val="en-US" w:eastAsia="zh-CN"/>
        </w:rPr>
        <w:t>度</w:t>
      </w:r>
      <w:r>
        <w:rPr>
          <w:rFonts w:hint="eastAsia" w:ascii="楷体" w:hAnsi="楷体" w:eastAsia="楷体" w:cs="楷体"/>
          <w:spacing w:val="-3"/>
          <w:sz w:val="28"/>
          <w:szCs w:val="28"/>
        </w:rPr>
        <w:t>公司共召开7次董事会，审议通过了定期报告、利润分配、可转换公司债券等若干议案。</w:t>
      </w:r>
    </w:p>
    <w:p>
      <w:pPr>
        <w:spacing w:before="4"/>
        <w:ind w:left="27" w:right="120" w:firstLine="572"/>
        <w:rPr>
          <w:rFonts w:ascii="楷体" w:hAnsi="楷体" w:eastAsia="楷体" w:cs="楷体"/>
          <w:spacing w:val="-4"/>
          <w:sz w:val="28"/>
          <w:szCs w:val="28"/>
        </w:rPr>
      </w:pPr>
    </w:p>
    <w:p>
      <w:pPr>
        <w:spacing w:before="4"/>
        <w:ind w:left="27" w:right="120" w:firstLine="572"/>
        <w:rPr>
          <w:rFonts w:ascii="楷体" w:hAnsi="楷体" w:eastAsia="楷体" w:cs="楷体"/>
          <w:spacing w:val="-4"/>
          <w:sz w:val="28"/>
          <w:szCs w:val="28"/>
        </w:rPr>
      </w:pPr>
      <w:r>
        <w:rPr>
          <w:rFonts w:hint="eastAsia" w:ascii="楷体" w:hAnsi="楷体" w:eastAsia="楷体" w:cs="楷体"/>
          <w:spacing w:val="-4"/>
          <w:sz w:val="28"/>
          <w:szCs w:val="28"/>
        </w:rPr>
        <w:t>3、监事会</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 xml:space="preserve">公司监事会由3名监事组成，其中股东监事2名、职工监事1名，职工监事占监事会人数三分之一。监事会构成合理，符合有关法律、法规及规范性文件的要求。 </w:t>
      </w:r>
    </w:p>
    <w:p>
      <w:pPr>
        <w:spacing w:before="344"/>
        <w:ind w:firstLine="548" w:firstLineChars="200"/>
        <w:rPr>
          <w:rFonts w:ascii="楷体" w:hAnsi="楷体" w:eastAsia="楷体" w:cs="楷体"/>
          <w:sz w:val="28"/>
          <w:szCs w:val="28"/>
        </w:rPr>
      </w:pPr>
      <w:r>
        <w:rPr>
          <w:rFonts w:hint="eastAsia" w:ascii="楷体" w:hAnsi="楷体" w:eastAsia="楷体" w:cs="楷体"/>
          <w:spacing w:val="-3"/>
          <w:sz w:val="28"/>
          <w:szCs w:val="28"/>
        </w:rPr>
        <w:t>2021年</w:t>
      </w:r>
      <w:r>
        <w:rPr>
          <w:rFonts w:hint="eastAsia" w:ascii="楷体" w:hAnsi="楷体" w:eastAsia="楷体" w:cs="楷体"/>
          <w:spacing w:val="-3"/>
          <w:sz w:val="28"/>
          <w:szCs w:val="28"/>
          <w:lang w:val="en-US" w:eastAsia="zh-CN"/>
        </w:rPr>
        <w:t>度</w:t>
      </w:r>
      <w:r>
        <w:rPr>
          <w:rFonts w:hint="eastAsia" w:ascii="楷体" w:hAnsi="楷体" w:eastAsia="楷体" w:cs="楷体"/>
          <w:spacing w:val="-3"/>
          <w:sz w:val="28"/>
          <w:szCs w:val="28"/>
        </w:rPr>
        <w:t>公司共召开5次监事会，审议通过了定期报告、内控报告、利润分配等若干议案</w:t>
      </w:r>
      <w:bookmarkStart w:id="1" w:name="_GoBack"/>
      <w:bookmarkEnd w:id="1"/>
      <w:r>
        <w:rPr>
          <w:rFonts w:hint="eastAsia" w:ascii="楷体" w:hAnsi="楷体" w:eastAsia="楷体" w:cs="楷体"/>
          <w:spacing w:val="-3"/>
          <w:sz w:val="28"/>
          <w:szCs w:val="28"/>
        </w:rPr>
        <w:t>。</w:t>
      </w:r>
    </w:p>
    <w:p>
      <w:pPr>
        <w:rPr>
          <w:rFonts w:ascii="楷体" w:hAnsi="楷体" w:eastAsia="楷体" w:cs="楷体"/>
        </w:rPr>
      </w:pPr>
    </w:p>
    <w:p>
      <w:pPr>
        <w:spacing w:before="12"/>
        <w:ind w:firstLine="734"/>
        <w:outlineLvl w:val="1"/>
        <w:rPr>
          <w:rFonts w:ascii="楷体" w:hAnsi="楷体" w:eastAsia="楷体" w:cs="楷体"/>
          <w:sz w:val="28"/>
          <w:szCs w:val="28"/>
        </w:rPr>
      </w:pPr>
      <w:r>
        <w:rPr>
          <w:rFonts w:hint="eastAsia" w:ascii="楷体" w:hAnsi="楷体" w:eastAsia="楷体" w:cs="楷体"/>
          <w:spacing w:val="-21"/>
          <w:sz w:val="24"/>
          <w:szCs w:val="24"/>
          <w14:textOutline w14:w="4356" w14:cap="flat" w14:cmpd="sng" w14:algn="ctr">
            <w14:solidFill>
              <w14:srgbClr w14:val="000000"/>
            </w14:solidFill>
            <w14:prstDash w14:val="solid"/>
            <w14:miter w14:val="0"/>
          </w14:textOutline>
        </w:rPr>
        <w:t>三、</w:t>
      </w:r>
      <w:r>
        <w:rPr>
          <w:rFonts w:hint="eastAsia" w:ascii="楷体" w:hAnsi="楷体" w:eastAsia="楷体" w:cs="楷体"/>
          <w:spacing w:val="44"/>
          <w:sz w:val="24"/>
          <w:szCs w:val="24"/>
        </w:rPr>
        <w:t xml:space="preserve"> </w:t>
      </w:r>
      <w:r>
        <w:rPr>
          <w:rFonts w:hint="eastAsia" w:ascii="楷体" w:hAnsi="楷体" w:eastAsia="楷体" w:cs="楷体"/>
          <w:spacing w:val="-21"/>
          <w:sz w:val="28"/>
          <w:szCs w:val="28"/>
          <w14:textOutline w14:w="5003" w14:cap="flat" w14:cmpd="sng" w14:algn="ctr">
            <w14:solidFill>
              <w14:srgbClr w14:val="000000"/>
            </w14:solidFill>
            <w14:prstDash w14:val="solid"/>
            <w14:miter w14:val="0"/>
          </w14:textOutline>
        </w:rPr>
        <w:t>信息披露情况</w:t>
      </w:r>
    </w:p>
    <w:p>
      <w:pPr>
        <w:rPr>
          <w:rFonts w:ascii="楷体" w:hAnsi="楷体" w:eastAsia="楷体" w:cs="楷体"/>
        </w:rPr>
        <w:sectPr>
          <w:footerReference r:id="rId6" w:type="default"/>
          <w:pgSz w:w="11905" w:h="16836"/>
          <w:pgMar w:top="1431" w:right="1650" w:bottom="1384" w:left="1785" w:header="0" w:footer="1260" w:gutter="0"/>
          <w:cols w:space="720" w:num="1"/>
        </w:sectPr>
      </w:pP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公司按照《公司法》《证券法》等国家有关法律法规及《证券  交易所股票上市规则》《上市公司规范运作指引》的有关要求，制  定了《信息披露管理制度》《内幕信息知情人登记管理制度》《重大内幕信息报告制度》等相关制度，明确了公司信息披露的基本规则、内容、程序、披露流程、披露权限和责任的划分以及相应的保密措施。</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 xml:space="preserve">在具体执行信息披露工作时，严格遵守中国证监会、深交所和公 司信息披露制度等规定，做到了客观、真实、完整地介绍公司经营情 况，提高投资者对公司的认同度，树立公司良好形象。另外能够做到 主动、及时地与监管部门保持联系与沟通，报告公司的有关事项，从而准确地把握信息披露的规范要求，进一步提高公司透明度和信息披 露质量。 </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2021年度公司共对外披露约120多份公告。</w:t>
      </w:r>
    </w:p>
    <w:p>
      <w:pPr>
        <w:numPr>
          <w:ilvl w:val="0"/>
          <w:numId w:val="2"/>
        </w:numPr>
        <w:spacing w:before="72"/>
        <w:ind w:firstLine="761"/>
        <w:outlineLvl w:val="1"/>
        <w:rPr>
          <w:rFonts w:ascii="楷体" w:hAnsi="楷体" w:eastAsia="楷体" w:cs="楷体"/>
          <w:spacing w:val="-24"/>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24"/>
          <w:sz w:val="28"/>
          <w:szCs w:val="28"/>
          <w14:textOutline w14:w="5003" w14:cap="flat" w14:cmpd="sng" w14:algn="ctr">
            <w14:solidFill>
              <w14:srgbClr w14:val="000000"/>
            </w14:solidFill>
            <w14:prstDash w14:val="solid"/>
            <w14:miter w14:val="0"/>
          </w14:textOutline>
        </w:rPr>
        <w:t>利润分配情况</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公司高度重视对股东的投资回报，制定了长期稳定的利润分配政策及《未来三年股东回报规划》（2022年-2024年）。</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 xml:space="preserve">2018年度，公司以1,767,659,099股（2018年末总股本1,779,019,047股减去已回购的11,359,948股）为基数，每10股派发现金0.60元（含税），共计派发现金红利10,605.95万元。 </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 xml:space="preserve">2019年度，公司以1,762,028,695股（2019年末总股本1,779,019,047股减去已回购的16,990,352股）为基数，每10股派发现金1.00元（含税），共计派发现金红利17,620.29万元。 </w:t>
      </w:r>
    </w:p>
    <w:p>
      <w:pPr>
        <w:spacing w:before="344"/>
        <w:ind w:firstLine="548" w:firstLineChars="200"/>
        <w:jc w:val="center"/>
        <w:rPr>
          <w:rFonts w:ascii="楷体" w:hAnsi="楷体" w:eastAsia="楷体" w:cs="楷体"/>
          <w:spacing w:val="-3"/>
          <w:sz w:val="28"/>
          <w:szCs w:val="28"/>
        </w:rPr>
      </w:pPr>
      <w:r>
        <w:rPr>
          <w:rFonts w:hint="eastAsia" w:ascii="楷体" w:hAnsi="楷体" w:eastAsia="楷体" w:cs="楷体"/>
          <w:spacing w:val="-3"/>
          <w:sz w:val="28"/>
          <w:szCs w:val="28"/>
        </w:rPr>
        <w:t>2020年度，公司以1,796,878,658股（2020年分配预案披露时的最新总股本1,802,509,062股减去已回购的5,630,404股）为基数，每10股派发现金1.50元（含税），共计派发现金红利26953.18万元。</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2021年度，公司以1,796,878,658股（2021年分配预案披露时的最新总股本1,802,509,062股减去已回购的5,630,404股）为基数，每10股派发现金0.8元（含税），共计派发现金红利14375.03万元。</w:t>
      </w:r>
    </w:p>
    <w:p>
      <w:pPr>
        <w:spacing w:before="344"/>
        <w:rPr>
          <w:rFonts w:ascii="楷体" w:hAnsi="楷体" w:eastAsia="楷体" w:cs="楷体"/>
          <w:spacing w:val="-3"/>
          <w:sz w:val="28"/>
          <w:szCs w:val="28"/>
        </w:rPr>
      </w:pPr>
    </w:p>
    <w:p>
      <w:pPr>
        <w:numPr>
          <w:ilvl w:val="0"/>
          <w:numId w:val="2"/>
        </w:numPr>
        <w:spacing w:before="72"/>
        <w:ind w:firstLine="761"/>
        <w:outlineLvl w:val="1"/>
        <w:rPr>
          <w:rFonts w:ascii="楷体" w:hAnsi="楷体" w:eastAsia="楷体" w:cs="楷体"/>
          <w:spacing w:val="-24"/>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24"/>
          <w:sz w:val="28"/>
          <w:szCs w:val="28"/>
          <w14:textOutline w14:w="5003" w14:cap="flat" w14:cmpd="sng" w14:algn="ctr">
            <w14:solidFill>
              <w14:srgbClr w14:val="000000"/>
            </w14:solidFill>
            <w14:prstDash w14:val="solid"/>
            <w14:miter w14:val="0"/>
          </w14:textOutline>
        </w:rPr>
        <w:t>与投资者沟通情况</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公司高度重视投资关系管理工作的重要性，制定了《投资者关系 管理制度》《投资者投诉处理工作制度》规范投资者关系管理工作，在接待证券分析、咨询及投资的机构或个人、新闻媒体时，严格遵循公平信息披露原则，杜绝差别对待的做法，没有发生选择性、私下地向特定对象透露未公开的重大信息事件，做到了依法依规、真实完整、准确及时地交流公司信息，达到“三公透明”的要求。</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公司还通过网络互动平台回答投提问、设置专线电话接听投资者电话咨询等方式与投资者进行交流，确保公司与投资者沟通桥梁的畅通。</w:t>
      </w:r>
    </w:p>
    <w:p>
      <w:pPr>
        <w:rPr>
          <w:rFonts w:ascii="楷体" w:hAnsi="楷体" w:eastAsia="楷体" w:cs="楷体"/>
        </w:rPr>
      </w:pPr>
    </w:p>
    <w:p>
      <w:pPr>
        <w:spacing w:before="143"/>
        <w:ind w:firstLine="2015"/>
        <w:outlineLvl w:val="0"/>
        <w:rPr>
          <w:rFonts w:ascii="楷体" w:hAnsi="楷体" w:eastAsia="楷体" w:cs="楷体"/>
        </w:rPr>
      </w:pPr>
      <w:r>
        <w:rPr>
          <w:rFonts w:hint="eastAsia" w:ascii="楷体" w:hAnsi="楷体" w:eastAsia="楷体" w:cs="楷体"/>
          <w:spacing w:val="-2"/>
          <w:sz w:val="44"/>
          <w:szCs w:val="44"/>
          <w14:textOutline w14:w="8064" w14:cap="flat" w14:cmpd="sng" w14:algn="ctr">
            <w14:solidFill>
              <w14:srgbClr w14:val="000000"/>
            </w14:solidFill>
            <w14:prstDash w14:val="solid"/>
            <w14:miter w14:val="0"/>
          </w14:textOutline>
        </w:rPr>
        <w:t>第三章</w:t>
      </w:r>
      <w:r>
        <w:rPr>
          <w:rFonts w:hint="eastAsia" w:ascii="楷体" w:hAnsi="楷体" w:eastAsia="楷体" w:cs="楷体"/>
          <w:spacing w:val="170"/>
          <w:sz w:val="44"/>
          <w:szCs w:val="44"/>
        </w:rPr>
        <w:t xml:space="preserve"> </w:t>
      </w:r>
      <w:r>
        <w:rPr>
          <w:rFonts w:hint="eastAsia" w:ascii="楷体" w:hAnsi="楷体" w:eastAsia="楷体" w:cs="楷体"/>
          <w:spacing w:val="-2"/>
          <w:sz w:val="44"/>
          <w:szCs w:val="44"/>
          <w14:textOutline w14:w="8064" w14:cap="flat" w14:cmpd="sng" w14:algn="ctr">
            <w14:solidFill>
              <w14:srgbClr w14:val="000000"/>
            </w14:solidFill>
            <w14:prstDash w14:val="solid"/>
            <w14:miter w14:val="0"/>
          </w14:textOutline>
        </w:rPr>
        <w:t>员工权益保护</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公司坚持“以人为本”的人才理念，始终重视各利益相关方需求， 为员工提供具有竞争力的薪酬福利待遇，创造培训学习机会和职业发展空间，实施各项暖心工程和职工活动，创建“公平、和谐”职业环境，使员工与企业共同成长、共同发展。</w:t>
      </w:r>
    </w:p>
    <w:p>
      <w:pPr>
        <w:spacing w:before="1"/>
        <w:ind w:firstLine="583"/>
        <w:rPr>
          <w:rFonts w:ascii="楷体" w:hAnsi="楷体" w:eastAsia="楷体" w:cs="楷体"/>
          <w:spacing w:val="-6"/>
          <w:sz w:val="28"/>
          <w:szCs w:val="28"/>
          <w14:textOutline w14:w="5003" w14:cap="flat" w14:cmpd="sng" w14:algn="ctr">
            <w14:solidFill>
              <w14:srgbClr w14:val="000000"/>
            </w14:solidFill>
            <w14:prstDash w14:val="solid"/>
            <w14:miter w14:val="0"/>
          </w14:textOutline>
        </w:rPr>
      </w:pPr>
    </w:p>
    <w:p>
      <w:pPr>
        <w:spacing w:before="1"/>
        <w:ind w:firstLine="583"/>
        <w:rPr>
          <w:rFonts w:ascii="楷体" w:hAnsi="楷体" w:eastAsia="楷体" w:cs="楷体"/>
          <w:sz w:val="28"/>
          <w:szCs w:val="28"/>
        </w:rPr>
      </w:pPr>
      <w:r>
        <w:rPr>
          <w:rFonts w:hint="eastAsia" w:ascii="楷体" w:hAnsi="楷体" w:eastAsia="楷体" w:cs="楷体"/>
          <w:spacing w:val="-6"/>
          <w:sz w:val="28"/>
          <w:szCs w:val="28"/>
          <w14:textOutline w14:w="5003" w14:cap="flat" w14:cmpd="sng" w14:algn="ctr">
            <w14:solidFill>
              <w14:srgbClr w14:val="000000"/>
            </w14:solidFill>
            <w14:prstDash w14:val="solid"/>
            <w14:miter w14:val="0"/>
          </w14:textOutline>
        </w:rPr>
        <w:t>一、员工概况</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2021年度，员工数量、专业构成及教育程度如下：</w:t>
      </w:r>
    </w:p>
    <w:p>
      <w:pPr>
        <w:spacing w:before="313"/>
        <w:ind w:firstLine="583"/>
        <w:rPr>
          <w:rFonts w:ascii="楷体" w:hAnsi="楷体" w:eastAsia="楷体" w:cs="楷体"/>
          <w:spacing w:val="-5"/>
          <w:sz w:val="28"/>
          <w:szCs w:val="28"/>
          <w14:textOutline w14:w="5003" w14:cap="flat" w14:cmpd="sng" w14:algn="ctr">
            <w14:solidFill>
              <w14:srgbClr w14:val="000000"/>
            </w14:solidFill>
            <w14:prstDash w14:val="solid"/>
            <w14:miter w14:val="0"/>
          </w14:textOutline>
        </w:rPr>
      </w:pPr>
      <w:r>
        <w:drawing>
          <wp:inline distT="0" distB="0" distL="114300" distR="114300">
            <wp:extent cx="4373880" cy="3282315"/>
            <wp:effectExtent l="0" t="0" r="7620"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4373880" cy="3282315"/>
                    </a:xfrm>
                    <a:prstGeom prst="rect">
                      <a:avLst/>
                    </a:prstGeom>
                    <a:noFill/>
                    <a:ln>
                      <a:noFill/>
                    </a:ln>
                  </pic:spPr>
                </pic:pic>
              </a:graphicData>
            </a:graphic>
          </wp:inline>
        </w:drawing>
      </w:r>
    </w:p>
    <w:p>
      <w:pPr>
        <w:spacing w:before="313"/>
        <w:ind w:firstLine="583"/>
        <w:rPr>
          <w:rFonts w:ascii="楷体" w:hAnsi="楷体" w:eastAsia="楷体" w:cs="楷体"/>
          <w:sz w:val="28"/>
          <w:szCs w:val="28"/>
        </w:rPr>
      </w:pPr>
      <w:r>
        <w:rPr>
          <w:rFonts w:hint="eastAsia" w:ascii="楷体" w:hAnsi="楷体" w:eastAsia="楷体" w:cs="楷体"/>
          <w:spacing w:val="-5"/>
          <w:sz w:val="28"/>
          <w:szCs w:val="28"/>
          <w14:textOutline w14:w="5003" w14:cap="flat" w14:cmpd="sng" w14:algn="ctr">
            <w14:solidFill>
              <w14:srgbClr w14:val="000000"/>
            </w14:solidFill>
            <w14:prstDash w14:val="solid"/>
            <w14:miter w14:val="0"/>
          </w14:textOutline>
        </w:rPr>
        <w:t>二、员工权益保障</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1、保障职工薪酬福利</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公司与建立劳动关系的职工全部签订了劳动合同并严格遵守执行， 符合《劳动法》《劳动合同法》等法律法规，切实保护职工合法权益。公司建立了完善的绩效管理体系，依据确定的年度生产经营方针、政策和管理的总目标，对各职能部门和工厂经营指标和工作任务完成  情况进行考核，设置关键绩效考核指标，实行月度考评。坚持以有效  激励职工工作积极性为指导思想，普惠激励和精准激励相结合，对专  项工作和突出贡献等进行精准激励，实施了第一期及第二期员工持股计划。让广大员工分享企业效益提升的红利；进一步强化薪酬与业绩的挂钩力度。</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公司建立并实施了多层次的保险福利体系，为员工提供有效的保  障，提升公司的凝聚力和向心力。法定福利方面，公司依法履行责任  和义务，按时足额缴纳各项社会保险，包括基本养老保险、医疗保险、 失业保险、工伤保险及住房公积金。企业福利方面，公司提供了健康体检、节日福利等项目，让职工共享企业发展成果。</w:t>
      </w:r>
    </w:p>
    <w:p>
      <w:pPr>
        <w:spacing w:before="344"/>
        <w:ind w:firstLine="548" w:firstLineChars="200"/>
        <w:rPr>
          <w:rFonts w:ascii="楷体" w:hAnsi="楷体" w:eastAsia="楷体" w:cs="楷体"/>
          <w:spacing w:val="-3"/>
          <w:sz w:val="28"/>
          <w:szCs w:val="28"/>
        </w:rPr>
      </w:pPr>
      <w:r>
        <w:rPr>
          <w:rFonts w:hint="eastAsia" w:ascii="楷体" w:hAnsi="楷体" w:eastAsia="楷体" w:cs="楷体"/>
          <w:spacing w:val="-3"/>
          <w:sz w:val="28"/>
          <w:szCs w:val="28"/>
        </w:rPr>
        <w:t>2、保障员工民主权利</w:t>
      </w:r>
    </w:p>
    <w:p>
      <w:pPr>
        <w:spacing w:before="175"/>
        <w:ind w:left="27" w:firstLine="416"/>
        <w:rPr>
          <w:rFonts w:ascii="楷体" w:hAnsi="楷体" w:eastAsia="楷体" w:cs="楷体"/>
          <w:spacing w:val="-6"/>
          <w:sz w:val="28"/>
          <w:szCs w:val="28"/>
        </w:rPr>
      </w:pPr>
      <w:r>
        <w:rPr>
          <w:rFonts w:hint="eastAsia" w:ascii="楷体" w:hAnsi="楷体" w:eastAsia="楷体" w:cs="楷体"/>
          <w:spacing w:val="-8"/>
          <w:sz w:val="28"/>
          <w:szCs w:val="28"/>
        </w:rPr>
        <w:t>公司认真贯彻落实中共中央、国务院《关于构建和谐劳动关系的意</w:t>
      </w:r>
      <w:r>
        <w:rPr>
          <w:rFonts w:hint="eastAsia" w:ascii="楷体" w:hAnsi="楷体" w:eastAsia="楷体" w:cs="楷体"/>
          <w:spacing w:val="15"/>
          <w:sz w:val="28"/>
          <w:szCs w:val="28"/>
        </w:rPr>
        <w:t xml:space="preserve"> </w:t>
      </w:r>
      <w:r>
        <w:rPr>
          <w:rFonts w:hint="eastAsia" w:ascii="楷体" w:hAnsi="楷体" w:eastAsia="楷体" w:cs="楷体"/>
          <w:spacing w:val="-6"/>
          <w:sz w:val="28"/>
          <w:szCs w:val="28"/>
        </w:rPr>
        <w:t>见》，坚持依靠职工办企业，认真落实以职工代表大会为基本形式的</w:t>
      </w:r>
      <w:r>
        <w:rPr>
          <w:rFonts w:hint="eastAsia" w:ascii="楷体" w:hAnsi="楷体" w:eastAsia="楷体" w:cs="楷体"/>
          <w:spacing w:val="8"/>
          <w:sz w:val="28"/>
          <w:szCs w:val="28"/>
        </w:rPr>
        <w:t xml:space="preserve">  </w:t>
      </w:r>
      <w:r>
        <w:rPr>
          <w:rFonts w:hint="eastAsia" w:ascii="楷体" w:hAnsi="楷体" w:eastAsia="楷体" w:cs="楷体"/>
          <w:spacing w:val="-6"/>
          <w:sz w:val="28"/>
          <w:szCs w:val="28"/>
        </w:rPr>
        <w:t>民主管理制度，通过职代会等多种民主管理形式，畅通职</w:t>
      </w:r>
      <w:r>
        <w:rPr>
          <w:rFonts w:hint="eastAsia" w:ascii="楷体" w:hAnsi="楷体" w:eastAsia="楷体" w:cs="楷体"/>
          <w:spacing w:val="-14"/>
          <w:sz w:val="28"/>
          <w:szCs w:val="28"/>
        </w:rPr>
        <w:t>工民主参与渠道，在各项涉及职工切身利益的项目开展之前，</w:t>
      </w:r>
      <w:r>
        <w:rPr>
          <w:rFonts w:hint="eastAsia" w:ascii="楷体" w:hAnsi="楷体" w:eastAsia="楷体" w:cs="楷体"/>
          <w:spacing w:val="-15"/>
          <w:sz w:val="28"/>
          <w:szCs w:val="28"/>
        </w:rPr>
        <w:t>广泛征求和反复听取职工代表的意见和建议，</w:t>
      </w:r>
      <w:r>
        <w:rPr>
          <w:rFonts w:hint="eastAsia" w:ascii="楷体" w:hAnsi="楷体" w:eastAsia="楷体" w:cs="楷体"/>
          <w:spacing w:val="-6"/>
          <w:sz w:val="28"/>
          <w:szCs w:val="28"/>
        </w:rPr>
        <w:t>依法保障职工的知情权、参与权、表达权、监督权。</w:t>
      </w:r>
    </w:p>
    <w:p>
      <w:pPr>
        <w:numPr>
          <w:ilvl w:val="0"/>
          <w:numId w:val="3"/>
        </w:numPr>
        <w:spacing w:before="175"/>
        <w:ind w:left="27" w:firstLine="416"/>
        <w:rPr>
          <w:rFonts w:ascii="楷体" w:hAnsi="楷体" w:eastAsia="楷体" w:cs="楷体"/>
          <w:spacing w:val="-6"/>
          <w:sz w:val="28"/>
          <w:szCs w:val="28"/>
        </w:rPr>
      </w:pPr>
      <w:r>
        <w:rPr>
          <w:rFonts w:hint="eastAsia" w:ascii="楷体" w:hAnsi="楷体" w:eastAsia="楷体" w:cs="楷体"/>
          <w:spacing w:val="-6"/>
          <w:sz w:val="28"/>
          <w:szCs w:val="28"/>
        </w:rPr>
        <w:t>提升员工教育培训能力</w:t>
      </w:r>
    </w:p>
    <w:p>
      <w:pPr>
        <w:spacing w:before="175"/>
        <w:ind w:left="27" w:firstLine="416"/>
        <w:rPr>
          <w:rFonts w:ascii="楷体" w:hAnsi="楷体" w:eastAsia="楷体" w:cs="楷体"/>
          <w:spacing w:val="-6"/>
          <w:sz w:val="28"/>
          <w:szCs w:val="28"/>
        </w:rPr>
      </w:pPr>
      <w:r>
        <w:rPr>
          <w:rFonts w:hint="eastAsia" w:ascii="楷体" w:hAnsi="楷体" w:eastAsia="楷体" w:cs="楷体"/>
          <w:spacing w:val="-8"/>
          <w:sz w:val="28"/>
          <w:szCs w:val="28"/>
        </w:rPr>
        <w:t>2021年，公司以深入实施人才优先发展战略为宗旨，人才培养能 力显著提升，以全面提高员工综合素质为最终目标，以满足培训需求 为重点，以更新培训理念、创新培训方法、提高培训质量为着力点， 在紧密围绕生产经营中心工作同时，全面开展系统化、模块化、精准化教育培训，着力打造特色精品培训项目，有效释放培训效力，职工队伍综合素质进一步提高，为本公司业务高质量发展奠定坚实基础。</w:t>
      </w:r>
    </w:p>
    <w:p>
      <w:pPr>
        <w:spacing w:before="181"/>
        <w:ind w:firstLine="605"/>
        <w:rPr>
          <w:rFonts w:ascii="楷体" w:hAnsi="楷体" w:eastAsia="楷体" w:cs="楷体"/>
          <w:sz w:val="28"/>
          <w:szCs w:val="28"/>
        </w:rPr>
      </w:pPr>
      <w:r>
        <w:rPr>
          <w:rFonts w:hint="eastAsia" w:ascii="楷体" w:hAnsi="楷体" w:eastAsia="楷体" w:cs="楷体"/>
          <w:spacing w:val="-7"/>
          <w:sz w:val="28"/>
          <w:szCs w:val="28"/>
          <w14:textOutline w14:w="5003" w14:cap="flat" w14:cmpd="sng" w14:algn="ctr">
            <w14:solidFill>
              <w14:srgbClr w14:val="000000"/>
            </w14:solidFill>
            <w14:prstDash w14:val="solid"/>
            <w14:miter w14:val="0"/>
          </w14:textOutline>
        </w:rPr>
        <w:t>三、员工安全生产</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公司根据《国务院关于加强安全生产工作的决定》（国发[2004]2号）、《国务院关于进一步加强企业安全生产工作的通知》（国发[2010]23号）等要求，落实“安全第一，预防为主，综合治理”的方针，公司各生产工序制定了完善的安全生产操作规程，建立起以落实全员安全生产责任制为核心的安全管理制度体系。</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公司已建立了健全的安全生产规章制度，包含安全生产工作规定、生产事故分类标准与事故调查制度、安全管理考核及奖惩办法、安全生产委员会工作管理规定、安全技术措施和反事故措施管理办法、安全设施管理标准、安全例会管理标准、安全检查管理标准、应急预案管理办法、反违章管理规定、安全教育培训管理标准、安全信息报送管理制度、事故隐患排查治理管理标准、安全工器具及手持电动工具管理标准、劳动防护用品管理标准、职业健康管理标准、特种作业安全管理标准、高处作业安全管理标准、受限空间作业安全管理标准、发包工程安全管理标准、安全活动日管理标准等安全制度。</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经统计，公司在2021年安全事故为0，较大环境污染事件为0。</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此外，公司定期组织相关人员对安全管理制度的执行情况进行检查，强化制度的执行力，制度执行情况良好。公司亦定期进行安全隐患排查和安全生产培训，同时投入足够的安全防护设备设施、安全防护用品等支出。</w:t>
      </w:r>
    </w:p>
    <w:p>
      <w:pPr>
        <w:spacing w:before="143"/>
        <w:ind w:firstLine="213"/>
        <w:rPr>
          <w:rFonts w:ascii="楷体" w:hAnsi="楷体" w:eastAsia="楷体" w:cs="楷体"/>
          <w:spacing w:val="-15"/>
          <w:sz w:val="44"/>
          <w:szCs w:val="44"/>
          <w14:textOutline w14:w="8064" w14:cap="flat" w14:cmpd="sng" w14:algn="ctr">
            <w14:solidFill>
              <w14:srgbClr w14:val="000000"/>
            </w14:solidFill>
            <w14:prstDash w14:val="solid"/>
            <w14:miter w14:val="0"/>
          </w14:textOutline>
        </w:rPr>
      </w:pPr>
    </w:p>
    <w:p>
      <w:pPr>
        <w:spacing w:before="143"/>
        <w:ind w:firstLine="213"/>
        <w:rPr>
          <w:rFonts w:ascii="楷体" w:hAnsi="楷体" w:eastAsia="楷体" w:cs="楷体"/>
          <w:sz w:val="44"/>
          <w:szCs w:val="44"/>
        </w:rPr>
      </w:pPr>
      <w:r>
        <w:rPr>
          <w:rFonts w:hint="eastAsia" w:ascii="楷体" w:hAnsi="楷体" w:eastAsia="楷体" w:cs="楷体"/>
          <w:spacing w:val="-15"/>
          <w:sz w:val="44"/>
          <w:szCs w:val="44"/>
          <w14:textOutline w14:w="8064" w14:cap="flat" w14:cmpd="sng" w14:algn="ctr">
            <w14:solidFill>
              <w14:srgbClr w14:val="000000"/>
            </w14:solidFill>
            <w14:prstDash w14:val="solid"/>
            <w14:miter w14:val="0"/>
          </w14:textOutline>
        </w:rPr>
        <w:t>第四章诚信经营、</w:t>
      </w:r>
      <w:r>
        <w:rPr>
          <w:rFonts w:hint="eastAsia" w:ascii="楷体" w:hAnsi="楷体" w:eastAsia="楷体" w:cs="楷体"/>
          <w:spacing w:val="84"/>
          <w:sz w:val="44"/>
          <w:szCs w:val="44"/>
        </w:rPr>
        <w:t xml:space="preserve"> </w:t>
      </w:r>
      <w:r>
        <w:rPr>
          <w:rFonts w:hint="eastAsia" w:ascii="楷体" w:hAnsi="楷体" w:eastAsia="楷体" w:cs="楷体"/>
          <w:spacing w:val="-15"/>
          <w:sz w:val="44"/>
          <w:szCs w:val="44"/>
          <w14:textOutline w14:w="8064" w14:cap="flat" w14:cmpd="sng" w14:algn="ctr">
            <w14:solidFill>
              <w14:srgbClr w14:val="000000"/>
            </w14:solidFill>
            <w14:prstDash w14:val="solid"/>
            <w14:miter w14:val="0"/>
          </w14:textOutline>
        </w:rPr>
        <w:t>供应商及客户权益保护</w:t>
      </w:r>
    </w:p>
    <w:p>
      <w:pPr>
        <w:rPr>
          <w:rFonts w:ascii="楷体" w:hAnsi="楷体" w:eastAsia="楷体" w:cs="楷体"/>
        </w:rPr>
      </w:pPr>
    </w:p>
    <w:p>
      <w:pPr>
        <w:spacing w:before="91"/>
        <w:ind w:firstLine="595"/>
        <w:outlineLvl w:val="1"/>
        <w:rPr>
          <w:rFonts w:ascii="楷体" w:hAnsi="楷体" w:eastAsia="楷体" w:cs="楷体"/>
          <w:sz w:val="28"/>
          <w:szCs w:val="28"/>
        </w:rPr>
      </w:pPr>
      <w:r>
        <w:rPr>
          <w:rFonts w:hint="eastAsia" w:ascii="楷体" w:hAnsi="楷体" w:eastAsia="楷体" w:cs="楷体"/>
          <w:spacing w:val="-24"/>
          <w:sz w:val="28"/>
          <w:szCs w:val="28"/>
          <w14:textOutline w14:w="5003" w14:cap="flat" w14:cmpd="sng" w14:algn="ctr">
            <w14:solidFill>
              <w14:srgbClr w14:val="000000"/>
            </w14:solidFill>
            <w14:prstDash w14:val="solid"/>
            <w14:miter w14:val="0"/>
          </w14:textOutline>
        </w:rPr>
        <w:t>一、</w:t>
      </w:r>
      <w:r>
        <w:rPr>
          <w:rFonts w:hint="eastAsia" w:ascii="楷体" w:hAnsi="楷体" w:eastAsia="楷体" w:cs="楷体"/>
          <w:spacing w:val="42"/>
          <w:sz w:val="28"/>
          <w:szCs w:val="28"/>
        </w:rPr>
        <w:t xml:space="preserve"> </w:t>
      </w:r>
      <w:r>
        <w:rPr>
          <w:rFonts w:hint="eastAsia" w:ascii="楷体" w:hAnsi="楷体" w:eastAsia="楷体" w:cs="楷体"/>
          <w:spacing w:val="-24"/>
          <w:sz w:val="28"/>
          <w:szCs w:val="28"/>
          <w14:textOutline w14:w="5003" w14:cap="flat" w14:cmpd="sng" w14:algn="ctr">
            <w14:solidFill>
              <w14:srgbClr w14:val="000000"/>
            </w14:solidFill>
            <w14:prstDash w14:val="solid"/>
            <w14:miter w14:val="0"/>
          </w14:textOutline>
        </w:rPr>
        <w:t>依法诚信经营</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公司始终严格遵守国家相关法律法规，坚守合规底线，坚持诚信经营，加大法律、政策、职业道德等方面培训力度，普及合规法律知识，培育诚信文化，倡导诚信观念提高员工的诚信道德水平，把诚信建设贯穿到公司经营、管理的各个环节，有效维护公司的核心利益及诚信形象。</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公司坚持合规经营。通过建立健全合规管理体系，明确工作任务和职责分工等具体工作，围绕劳动用工、商业伙伴、反商业贿赂、环境保护等生产经营重点领域、关键环节，开展合规管理专项整治，排查管理漏洞，研判合规风险，分析内控缺陷，有效推动生产经营重点领域、关键环节的规范管理。</w:t>
      </w:r>
    </w:p>
    <w:p>
      <w:pPr>
        <w:spacing w:before="91"/>
        <w:ind w:firstLine="595"/>
        <w:outlineLvl w:val="1"/>
        <w:rPr>
          <w:rFonts w:ascii="楷体" w:hAnsi="楷体" w:eastAsia="楷体" w:cs="楷体"/>
          <w:spacing w:val="-24"/>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24"/>
          <w:sz w:val="28"/>
          <w:szCs w:val="28"/>
          <w14:textOutline w14:w="5003" w14:cap="flat" w14:cmpd="sng" w14:algn="ctr">
            <w14:solidFill>
              <w14:srgbClr w14:val="000000"/>
            </w14:solidFill>
            <w14:prstDash w14:val="solid"/>
            <w14:miter w14:val="0"/>
          </w14:textOutline>
        </w:rPr>
        <w:t>二、产品质量管控</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公司以满足客户需求为导向，提高产品质量稳定性和附加值，不 断强化质量管理；以一贯制技术深入推进工作为抓手，建立健全质量 管控体系。树立精益管理理念，提高品质意识，强化精益管理，聚焦用户体验，不断满足用户个性化要求，为生产经营目标的实现做出了贡献。</w:t>
      </w:r>
    </w:p>
    <w:p>
      <w:pPr>
        <w:spacing w:before="1"/>
        <w:ind w:firstLine="591"/>
        <w:rPr>
          <w:rFonts w:ascii="楷体" w:hAnsi="楷体" w:eastAsia="楷体" w:cs="楷体"/>
          <w:sz w:val="28"/>
          <w:szCs w:val="28"/>
        </w:rPr>
      </w:pPr>
      <w:r>
        <w:rPr>
          <w:rFonts w:hint="eastAsia" w:ascii="楷体" w:hAnsi="楷体" w:eastAsia="楷体" w:cs="楷体"/>
          <w:spacing w:val="-2"/>
          <w:sz w:val="28"/>
          <w:szCs w:val="28"/>
          <w14:textOutline w14:w="5003" w14:cap="flat" w14:cmpd="sng" w14:algn="ctr">
            <w14:solidFill>
              <w14:srgbClr w14:val="000000"/>
            </w14:solidFill>
            <w14:prstDash w14:val="solid"/>
            <w14:miter w14:val="0"/>
          </w14:textOutline>
        </w:rPr>
        <w:t>三、研发创新</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在产品创新方面，公司深耕风力发电应用领域，持续研发和提高风电塔筒、叶片的制造工艺，相关产品工艺水平处于行业前列。</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未来公司将围绕风机关键零部件领域进一步创新和研发，并加大在新能源电站运营技术和服务方面的创新，形成新的业务增长点。</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在商业模式创新方面，公司从新能源零部件领域实现了产业链的延伸，切入新能源资源开发和运营领域，并计划在未来逐步向轻资产转型，同时通过与国有资本、头部客户和供应商的深度战略合作，实现资源开发、运营服务和零部件制造板块的相互促进，加速公司在新能源赛道的成长。</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 xml:space="preserve">公司也坚持运营模式创新，建立了完善的集团化管控模式和事业部制组织架构。公司以资本社会化、公司平台化、业务专业化、经理职业化、运营精细化、发展国际化为方针，不断优化管理体系，推行项目制、标准化、信息化和精益生产的管理理念。未来公司将逐步建设和完善数字化运营体系，在零部件制造、新能源开发及运营环节，通过数字化、信息化运营，进一步提升公司的核心竞争能力。 </w:t>
      </w:r>
    </w:p>
    <w:p>
      <w:pPr>
        <w:spacing w:before="12"/>
        <w:ind w:firstLine="617"/>
        <w:outlineLvl w:val="1"/>
        <w:rPr>
          <w:rFonts w:ascii="楷体" w:hAnsi="楷体" w:eastAsia="楷体" w:cs="楷体"/>
          <w:spacing w:val="-4"/>
          <w:sz w:val="28"/>
          <w:szCs w:val="28"/>
          <w14:textOutline w14:w="5003" w14:cap="flat" w14:cmpd="sng" w14:algn="ctr">
            <w14:solidFill>
              <w14:srgbClr w14:val="000000"/>
            </w14:solidFill>
            <w14:prstDash w14:val="solid"/>
            <w14:miter w14:val="0"/>
          </w14:textOutline>
        </w:rPr>
      </w:pPr>
    </w:p>
    <w:p>
      <w:pPr>
        <w:spacing w:before="12"/>
        <w:ind w:firstLine="617"/>
        <w:outlineLvl w:val="1"/>
        <w:rPr>
          <w:rFonts w:ascii="楷体" w:hAnsi="楷体" w:eastAsia="楷体" w:cs="楷体"/>
          <w:sz w:val="28"/>
          <w:szCs w:val="28"/>
        </w:rPr>
      </w:pPr>
      <w:r>
        <w:rPr>
          <w:rFonts w:hint="eastAsia" w:ascii="楷体" w:hAnsi="楷体" w:eastAsia="楷体" w:cs="楷体"/>
          <w:spacing w:val="-4"/>
          <w:sz w:val="28"/>
          <w:szCs w:val="28"/>
          <w14:textOutline w14:w="5003" w14:cap="flat" w14:cmpd="sng" w14:algn="ctr">
            <w14:solidFill>
              <w14:srgbClr w14:val="000000"/>
            </w14:solidFill>
            <w14:prstDash w14:val="solid"/>
            <w14:miter w14:val="0"/>
          </w14:textOutline>
        </w:rPr>
        <w:t>四、供应链管理</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 xml:space="preserve">供应商是公司的重要资源，公司坚持“互利共赢、风险共担、共同发展”的原则，与供应商建立了良好的合作关系。公司建立了完善的供应商管理、采购控制等流程制度及要求，确保物资采购流程规范、公开透明，营造公开、公平、公正的采购环境，合理保障合格供应商的权益。 </w:t>
      </w:r>
    </w:p>
    <w:p>
      <w:pPr>
        <w:spacing w:before="175"/>
        <w:ind w:left="27" w:firstLine="416"/>
        <w:rPr>
          <w:rFonts w:ascii="楷体" w:hAnsi="楷体" w:eastAsia="楷体" w:cs="楷体"/>
          <w:spacing w:val="-8"/>
          <w:sz w:val="28"/>
          <w:szCs w:val="28"/>
        </w:rPr>
      </w:pPr>
      <w:r>
        <w:rPr>
          <w:rFonts w:hint="eastAsia" w:ascii="楷体" w:hAnsi="楷体" w:eastAsia="楷体" w:cs="楷体"/>
          <w:spacing w:val="-8"/>
          <w:sz w:val="28"/>
          <w:szCs w:val="28"/>
        </w:rPr>
        <w:t>公司严格控制新供应商准入，对合格供应商进行动态管理与更新，既突出了合格供应商的重要地位，合理保障合格供应商合法权益，也促进合格供应商能力的持续提升，从而提高供应商对公司的服务及保障水平；公司组织开展了年度供应商评价工作，并根据评价结果向供方发出了改进要求。</w:t>
      </w:r>
    </w:p>
    <w:p>
      <w:pPr>
        <w:rPr>
          <w:rFonts w:ascii="楷体" w:hAnsi="楷体" w:eastAsia="楷体" w:cs="楷体"/>
          <w:sz w:val="24"/>
          <w:szCs w:val="24"/>
          <w:lang w:bidi="ar"/>
        </w:rPr>
      </w:pPr>
    </w:p>
    <w:p>
      <w:pPr>
        <w:spacing w:before="12"/>
        <w:ind w:firstLine="617"/>
        <w:outlineLvl w:val="1"/>
        <w:rPr>
          <w:rFonts w:ascii="楷体" w:hAnsi="楷体" w:eastAsia="楷体" w:cs="楷体"/>
          <w:spacing w:val="-4"/>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4"/>
          <w:sz w:val="28"/>
          <w:szCs w:val="28"/>
          <w14:textOutline w14:w="5003" w14:cap="flat" w14:cmpd="sng" w14:algn="ctr">
            <w14:solidFill>
              <w14:srgbClr w14:val="000000"/>
            </w14:solidFill>
            <w14:prstDash w14:val="solid"/>
            <w14:miter w14:val="0"/>
          </w14:textOutline>
        </w:rPr>
        <w:t>五、客户</w:t>
      </w:r>
    </w:p>
    <w:p>
      <w:pPr>
        <w:rPr>
          <w:rFonts w:ascii="楷体" w:hAnsi="楷体" w:eastAsia="楷体" w:cs="楷体"/>
        </w:rPr>
      </w:pPr>
    </w:p>
    <w:p>
      <w:pPr>
        <w:spacing w:before="175"/>
        <w:ind w:firstLine="528" w:firstLineChars="200"/>
        <w:rPr>
          <w:rFonts w:ascii="楷体" w:hAnsi="楷体" w:eastAsia="楷体" w:cs="楷体"/>
          <w:spacing w:val="-8"/>
          <w:sz w:val="28"/>
          <w:szCs w:val="28"/>
        </w:rPr>
      </w:pPr>
      <w:r>
        <w:rPr>
          <w:rFonts w:hint="eastAsia" w:ascii="楷体" w:hAnsi="楷体" w:eastAsia="楷体" w:cs="楷体"/>
          <w:spacing w:val="-8"/>
          <w:sz w:val="28"/>
          <w:szCs w:val="28"/>
        </w:rPr>
        <w:t>经过长期经营，“天顺风能”品牌在全球风电产业中具备较优质的品牌形象，代表着可靠质量、交期保证、快速响应和优质服务。公司产品的工艺水准、质量水平和天顺风能品牌形象在国内和国际市场均得到较广泛的验证，获得了下游龙头企业的认可，进入其主要供应商序列，与其建立了长期合作关系。</w:t>
      </w:r>
    </w:p>
    <w:p>
      <w:pPr>
        <w:spacing w:before="175"/>
        <w:ind w:firstLine="528" w:firstLineChars="200"/>
        <w:rPr>
          <w:rFonts w:ascii="楷体" w:hAnsi="楷体" w:eastAsia="楷体" w:cs="楷体"/>
          <w:spacing w:val="-8"/>
          <w:sz w:val="28"/>
          <w:szCs w:val="28"/>
        </w:rPr>
      </w:pPr>
      <w:r>
        <w:rPr>
          <w:rFonts w:hint="eastAsia" w:ascii="楷体" w:hAnsi="楷体" w:eastAsia="楷体" w:cs="楷体"/>
          <w:spacing w:val="-8"/>
          <w:sz w:val="28"/>
          <w:szCs w:val="28"/>
        </w:rPr>
        <w:t xml:space="preserve">公司自成立之初即坚持国际化发展道路，形成了以国际化产品认证、国际化产能布局、国际化战略客户、国际化营销网络为核心的综合竞争优势。公司与全球风电整机龙头Vestas签署了长期战略合作协议，并与GE、西门子歌美飒等国际一流风电企业建立了长期稳定的合作关系，在国内客户中也涵盖了主要央企客户以及金风科技、远景能源、明阳智能等主机龙头企业，以一贯优秀的品质在全球范围内树立了良好的品牌形象。 </w:t>
      </w:r>
    </w:p>
    <w:p>
      <w:pPr>
        <w:spacing w:before="175"/>
        <w:ind w:firstLine="528" w:firstLineChars="200"/>
        <w:rPr>
          <w:rFonts w:ascii="楷体" w:hAnsi="楷体" w:eastAsia="楷体" w:cs="楷体"/>
        </w:rPr>
      </w:pPr>
      <w:r>
        <w:rPr>
          <w:rFonts w:hint="eastAsia" w:ascii="楷体" w:hAnsi="楷体" w:eastAsia="楷体" w:cs="楷体"/>
          <w:spacing w:val="-8"/>
          <w:sz w:val="28"/>
          <w:szCs w:val="28"/>
        </w:rPr>
        <w:t>公司将持续强化客户需求分析，完善合同履约全流程、全周期的闭环管理，进一步提升内部运营效率，为用户提供技术先进、质量可靠的高品质产品和服务。</w:t>
      </w:r>
    </w:p>
    <w:p>
      <w:pPr>
        <w:rPr>
          <w:rFonts w:ascii="楷体" w:hAnsi="楷体" w:eastAsia="楷体" w:cs="楷体"/>
        </w:rPr>
      </w:pPr>
    </w:p>
    <w:p>
      <w:pPr>
        <w:spacing w:before="144"/>
        <w:ind w:firstLine="2640"/>
        <w:outlineLvl w:val="0"/>
        <w:rPr>
          <w:rFonts w:ascii="楷体" w:hAnsi="楷体" w:eastAsia="楷体" w:cs="楷体"/>
          <w:sz w:val="44"/>
          <w:szCs w:val="44"/>
        </w:rPr>
      </w:pPr>
      <w:r>
        <w:rPr>
          <w:rFonts w:hint="eastAsia" w:ascii="楷体" w:hAnsi="楷体" w:eastAsia="楷体" w:cs="楷体"/>
          <w:spacing w:val="2"/>
          <w:sz w:val="44"/>
          <w:szCs w:val="44"/>
          <w14:textOutline w14:w="8064" w14:cap="flat" w14:cmpd="sng" w14:algn="ctr">
            <w14:solidFill>
              <w14:srgbClr w14:val="000000"/>
            </w14:solidFill>
            <w14:prstDash w14:val="solid"/>
            <w14:miter w14:val="0"/>
          </w14:textOutline>
        </w:rPr>
        <w:t>第五章 环境保护</w:t>
      </w:r>
    </w:p>
    <w:p>
      <w:pPr>
        <w:rPr>
          <w:rFonts w:ascii="楷体" w:hAnsi="楷体" w:eastAsia="楷体" w:cs="楷体"/>
        </w:rPr>
      </w:pPr>
    </w:p>
    <w:p>
      <w:pPr>
        <w:rPr>
          <w:rFonts w:ascii="楷体" w:hAnsi="楷体" w:eastAsia="楷体" w:cs="楷体"/>
        </w:rPr>
      </w:pPr>
    </w:p>
    <w:p>
      <w:pPr>
        <w:spacing w:before="91"/>
        <w:ind w:firstLine="595"/>
        <w:rPr>
          <w:rFonts w:ascii="楷体" w:hAnsi="楷体" w:eastAsia="楷体" w:cs="楷体"/>
          <w:spacing w:val="-1"/>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一、环境保护情况</w:t>
      </w:r>
    </w:p>
    <w:p>
      <w:pPr>
        <w:spacing w:before="175"/>
        <w:ind w:firstLine="528" w:firstLineChars="200"/>
        <w:rPr>
          <w:rFonts w:ascii="楷体" w:hAnsi="楷体" w:eastAsia="楷体" w:cs="楷体"/>
          <w:spacing w:val="-8"/>
          <w:sz w:val="28"/>
          <w:szCs w:val="28"/>
        </w:rPr>
      </w:pPr>
      <w:r>
        <w:rPr>
          <w:rFonts w:hint="eastAsia" w:ascii="楷体" w:hAnsi="楷体" w:eastAsia="楷体" w:cs="楷体"/>
          <w:spacing w:val="-8"/>
          <w:sz w:val="28"/>
          <w:szCs w:val="28"/>
        </w:rPr>
        <w:t>公司战略以</w:t>
      </w:r>
      <w:r>
        <w:rPr>
          <w:rFonts w:ascii="楷体" w:hAnsi="楷体" w:eastAsia="楷体" w:cs="楷体"/>
          <w:spacing w:val="-8"/>
          <w:sz w:val="28"/>
          <w:szCs w:val="28"/>
        </w:rPr>
        <w:t>“</w:t>
      </w:r>
      <w:r>
        <w:rPr>
          <w:rFonts w:hint="eastAsia" w:ascii="楷体" w:hAnsi="楷体" w:eastAsia="楷体" w:cs="楷体"/>
          <w:spacing w:val="-8"/>
          <w:sz w:val="28"/>
          <w:szCs w:val="28"/>
        </w:rPr>
        <w:t>不止创造、美化环境</w:t>
      </w:r>
      <w:r>
        <w:rPr>
          <w:rFonts w:ascii="楷体" w:hAnsi="楷体" w:eastAsia="楷体" w:cs="楷体"/>
          <w:spacing w:val="-8"/>
          <w:sz w:val="28"/>
          <w:szCs w:val="28"/>
        </w:rPr>
        <w:t>”</w:t>
      </w:r>
      <w:r>
        <w:rPr>
          <w:rFonts w:hint="eastAsia" w:ascii="楷体" w:hAnsi="楷体" w:eastAsia="楷体" w:cs="楷体"/>
          <w:spacing w:val="-8"/>
          <w:sz w:val="28"/>
          <w:szCs w:val="28"/>
        </w:rPr>
        <w:t>为己任，公司致力于 “新能源的智能发展，成为全球领先的新能源企业”为愿景，“十四五”期间，公司将持续坚持高质量发展理念，坚持围绕</w:t>
      </w:r>
      <w:r>
        <w:rPr>
          <w:rFonts w:ascii="楷体" w:hAnsi="楷体" w:eastAsia="楷体" w:cs="楷体"/>
          <w:spacing w:val="-8"/>
          <w:sz w:val="28"/>
          <w:szCs w:val="28"/>
        </w:rPr>
        <w:t>“</w:t>
      </w:r>
      <w:r>
        <w:rPr>
          <w:rFonts w:hint="eastAsia" w:ascii="楷体" w:hAnsi="楷体" w:eastAsia="楷体" w:cs="楷体"/>
          <w:spacing w:val="-8"/>
          <w:sz w:val="28"/>
          <w:szCs w:val="28"/>
        </w:rPr>
        <w:t>新能源、节能环保</w:t>
      </w:r>
      <w:r>
        <w:rPr>
          <w:rFonts w:ascii="楷体" w:hAnsi="楷体" w:eastAsia="楷体" w:cs="楷体"/>
          <w:spacing w:val="-8"/>
          <w:sz w:val="28"/>
          <w:szCs w:val="28"/>
        </w:rPr>
        <w:t>”</w:t>
      </w:r>
      <w:r>
        <w:rPr>
          <w:rFonts w:hint="eastAsia" w:ascii="楷体" w:hAnsi="楷体" w:eastAsia="楷体" w:cs="楷体"/>
          <w:spacing w:val="-8"/>
          <w:sz w:val="28"/>
          <w:szCs w:val="28"/>
        </w:rPr>
        <w:t xml:space="preserve">领域发展，拓展零碳产业布局，构筑源网荷储能力，丰富公司新能源发展战略蓝图，积极促进人与环境健康和谐的关系，紧密围绕“国家30.60”碳减排总目标，持续推动公司产品制造的绿色发展，充分履行企业的社会责任。 </w:t>
      </w:r>
    </w:p>
    <w:p>
      <w:pPr>
        <w:spacing w:before="175"/>
        <w:ind w:firstLine="528" w:firstLineChars="200"/>
        <w:rPr>
          <w:rFonts w:ascii="楷体" w:hAnsi="楷体" w:eastAsia="楷体" w:cs="楷体"/>
          <w:spacing w:val="-8"/>
          <w:sz w:val="28"/>
          <w:szCs w:val="28"/>
        </w:rPr>
      </w:pPr>
      <w:r>
        <w:rPr>
          <w:rFonts w:hint="eastAsia" w:ascii="楷体" w:hAnsi="楷体" w:eastAsia="楷体" w:cs="楷体"/>
          <w:spacing w:val="-8"/>
          <w:sz w:val="28"/>
          <w:szCs w:val="28"/>
        </w:rPr>
        <w:t>公司主营业务不属于高污染、高耗水、高耗能行业，公司亦在积极落实国家产业政策，大力发展循环经济，深化环保和节能减排，主要发展指标符合中国国家能源局及地方政府投资主管部门、中国可再生能源学会风能专业委员会等行业部门、组织的要求。公司及各子公司在项目管理上严格按照《中华人民共和国环境影响评价法》《建设项目环境保护管理条例》等法律法规中有关要求进行管理，已有项目取得环评批复并通过环保验收。</w:t>
      </w:r>
    </w:p>
    <w:p>
      <w:pPr>
        <w:spacing w:before="175"/>
        <w:ind w:firstLine="528" w:firstLineChars="200"/>
        <w:rPr>
          <w:rFonts w:ascii="楷体" w:hAnsi="楷体" w:eastAsia="楷体" w:cs="楷体"/>
          <w:spacing w:val="-8"/>
          <w:sz w:val="28"/>
          <w:szCs w:val="28"/>
        </w:rPr>
      </w:pPr>
      <w:r>
        <w:rPr>
          <w:rFonts w:hint="eastAsia" w:ascii="楷体" w:hAnsi="楷体" w:eastAsia="楷体" w:cs="楷体"/>
          <w:spacing w:val="-8"/>
          <w:sz w:val="28"/>
          <w:szCs w:val="28"/>
        </w:rPr>
        <w:t>公司按照环境管理体系的要求，各下属企业已建立并完善了包含环境保护管理标准、危废品管理办法、重大危险源管理标准等在内的相关环保制度，制订了废水、废气、噪声、固体废物排放的管理制度，注重对环保设备日常运维情况进行监督和考核，确保公司环保设备和在线监测系统稳定正常运行，明确各部门职责，细化环境管理工作内容，规范环境考核制度，完善了环境管理工作体系。</w:t>
      </w:r>
    </w:p>
    <w:p>
      <w:pPr>
        <w:spacing w:before="175"/>
        <w:ind w:firstLine="528" w:firstLineChars="200"/>
        <w:rPr>
          <w:rFonts w:ascii="楷体" w:hAnsi="楷体" w:eastAsia="楷体" w:cs="楷体"/>
          <w:spacing w:val="-8"/>
          <w:sz w:val="28"/>
          <w:szCs w:val="28"/>
        </w:rPr>
      </w:pPr>
      <w:r>
        <w:rPr>
          <w:rFonts w:hint="eastAsia" w:ascii="楷体" w:hAnsi="楷体" w:eastAsia="楷体" w:cs="楷体"/>
          <w:spacing w:val="-8"/>
          <w:sz w:val="28"/>
          <w:szCs w:val="28"/>
        </w:rPr>
        <w:t>建立了产品及生产过程资源回收流程，生产过程中的资源进行回收利用，对于废弃物进行分类存放，固废和危废交予由处理和运输资质的第三方进行统一归口处理，对于报废产品及工业余料交给资源再利用公司统一处理（有拆解作业指导），可以重复再利用，不会对环境产生危害。</w:t>
      </w:r>
    </w:p>
    <w:p>
      <w:pPr>
        <w:spacing w:before="175"/>
        <w:ind w:firstLine="528" w:firstLineChars="200"/>
        <w:rPr>
          <w:rFonts w:ascii="楷体" w:hAnsi="楷体" w:eastAsia="楷体" w:cs="楷体"/>
          <w:spacing w:val="-3"/>
          <w:sz w:val="28"/>
          <w:szCs w:val="28"/>
        </w:rPr>
      </w:pPr>
      <w:r>
        <w:rPr>
          <w:rFonts w:hint="eastAsia" w:ascii="楷体" w:hAnsi="楷体" w:eastAsia="楷体" w:cs="楷体"/>
          <w:spacing w:val="-8"/>
          <w:sz w:val="28"/>
          <w:szCs w:val="28"/>
        </w:rPr>
        <w:t>同时，公司对新员工进行环保知识培训，并组织多层次、多类别的专题环保培训计划，包括环保知识的宣传教育、环境体系内容的熟悉、环保法律法规的了解、公司环境方针、环境目标指标等，不断提高员工的环境意识。</w:t>
      </w:r>
    </w:p>
    <w:p>
      <w:pPr>
        <w:spacing w:before="91"/>
        <w:ind w:firstLine="595"/>
        <w:rPr>
          <w:rFonts w:ascii="楷体" w:hAnsi="楷体" w:eastAsia="楷体" w:cs="楷体"/>
          <w:spacing w:val="-1"/>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二.做好碳减排工作</w:t>
      </w:r>
    </w:p>
    <w:p>
      <w:pPr>
        <w:spacing w:before="347"/>
        <w:ind w:left="27" w:firstLine="562"/>
        <w:rPr>
          <w:rFonts w:ascii="楷体" w:hAnsi="楷体" w:eastAsia="楷体" w:cs="楷体"/>
          <w:sz w:val="28"/>
          <w:szCs w:val="28"/>
        </w:rPr>
      </w:pPr>
      <w:r>
        <w:rPr>
          <w:rFonts w:hint="eastAsia" w:ascii="楷体" w:hAnsi="楷体" w:eastAsia="楷体" w:cs="楷体"/>
          <w:spacing w:val="-10"/>
          <w:sz w:val="28"/>
          <w:szCs w:val="28"/>
        </w:rPr>
        <w:t>公司将低碳规划纳入到中长期发展规划当中，确保战略方向、产业布</w:t>
      </w:r>
      <w:r>
        <w:rPr>
          <w:rFonts w:hint="eastAsia" w:ascii="楷体" w:hAnsi="楷体" w:eastAsia="楷体" w:cs="楷体"/>
          <w:spacing w:val="-4"/>
          <w:sz w:val="28"/>
          <w:szCs w:val="28"/>
        </w:rPr>
        <w:t>局、重大项目协调一致。开展绿色低碳新技术、新工艺、新装备等碳</w:t>
      </w:r>
      <w:r>
        <w:rPr>
          <w:rFonts w:hint="eastAsia" w:ascii="楷体" w:hAnsi="楷体" w:eastAsia="楷体" w:cs="楷体"/>
          <w:spacing w:val="-15"/>
          <w:sz w:val="28"/>
          <w:szCs w:val="28"/>
        </w:rPr>
        <w:t>减排技术研究应用，加快实施低碳节能项目建设，提升能源使用效率，</w:t>
      </w:r>
      <w:r>
        <w:rPr>
          <w:rFonts w:hint="eastAsia" w:ascii="楷体" w:hAnsi="楷体" w:eastAsia="楷体" w:cs="楷体"/>
          <w:spacing w:val="-9"/>
          <w:sz w:val="28"/>
          <w:szCs w:val="28"/>
        </w:rPr>
        <w:t>降低碳排放量。</w:t>
      </w:r>
    </w:p>
    <w:p>
      <w:pPr>
        <w:spacing w:before="347"/>
        <w:ind w:left="27" w:firstLine="562"/>
        <w:rPr>
          <w:rFonts w:ascii="楷体" w:hAnsi="楷体" w:eastAsia="楷体" w:cs="楷体"/>
          <w:sz w:val="28"/>
          <w:szCs w:val="28"/>
        </w:rPr>
      </w:pPr>
      <w:r>
        <w:rPr>
          <w:rFonts w:hint="eastAsia" w:ascii="楷体" w:hAnsi="楷体" w:eastAsia="楷体" w:cs="楷体"/>
          <w:spacing w:val="-1"/>
          <w:sz w:val="28"/>
          <w:szCs w:val="28"/>
        </w:rPr>
        <w:t>公司制定了以节约能源和提高利用效率为基本出发点的低碳发</w:t>
      </w:r>
      <w:r>
        <w:rPr>
          <w:rFonts w:hint="eastAsia" w:ascii="楷体" w:hAnsi="楷体" w:eastAsia="楷体" w:cs="楷体"/>
          <w:spacing w:val="2"/>
          <w:sz w:val="28"/>
          <w:szCs w:val="28"/>
        </w:rPr>
        <w:t xml:space="preserve">  </w:t>
      </w:r>
      <w:r>
        <w:rPr>
          <w:rFonts w:hint="eastAsia" w:ascii="楷体" w:hAnsi="楷体" w:eastAsia="楷体" w:cs="楷体"/>
          <w:spacing w:val="-15"/>
          <w:sz w:val="28"/>
          <w:szCs w:val="28"/>
        </w:rPr>
        <w:t>展路径，不断加强对先进节能低碳技术的应用</w:t>
      </w:r>
      <w:r>
        <w:rPr>
          <w:rFonts w:hint="eastAsia" w:ascii="楷体" w:hAnsi="楷体" w:eastAsia="楷体" w:cs="楷体"/>
          <w:spacing w:val="-1"/>
          <w:sz w:val="28"/>
          <w:szCs w:val="28"/>
        </w:rPr>
        <w:t>。</w:t>
      </w:r>
      <w:r>
        <w:rPr>
          <w:rFonts w:hint="eastAsia" w:ascii="楷体" w:hAnsi="楷体" w:eastAsia="楷体" w:cs="楷体"/>
          <w:spacing w:val="-16"/>
          <w:sz w:val="28"/>
          <w:szCs w:val="28"/>
        </w:rPr>
        <w:t>在生产、管理过程中持续实施清洁生产，合理利用自然资源，始</w:t>
      </w:r>
      <w:r>
        <w:rPr>
          <w:rFonts w:hint="eastAsia" w:ascii="楷体" w:hAnsi="楷体" w:eastAsia="楷体" w:cs="楷体"/>
          <w:spacing w:val="-15"/>
          <w:sz w:val="28"/>
          <w:szCs w:val="28"/>
        </w:rPr>
        <w:t>终坚持采用能耗小、物耗小，</w:t>
      </w:r>
      <w:r>
        <w:rPr>
          <w:rFonts w:hint="eastAsia" w:ascii="楷体" w:hAnsi="楷体" w:eastAsia="楷体" w:cs="楷体"/>
          <w:spacing w:val="27"/>
          <w:sz w:val="28"/>
          <w:szCs w:val="28"/>
        </w:rPr>
        <w:t xml:space="preserve"> </w:t>
      </w:r>
      <w:r>
        <w:rPr>
          <w:rFonts w:hint="eastAsia" w:ascii="楷体" w:hAnsi="楷体" w:eastAsia="楷体" w:cs="楷体"/>
          <w:spacing w:val="-15"/>
          <w:sz w:val="28"/>
          <w:szCs w:val="28"/>
        </w:rPr>
        <w:t>污染物产生量少的清洁生产工艺，始终坚持严格的管理制度，科学合理地对产品的生产过程进行控制，不断</w:t>
      </w:r>
      <w:r>
        <w:rPr>
          <w:rFonts w:hint="eastAsia" w:ascii="楷体" w:hAnsi="楷体" w:eastAsia="楷体" w:cs="楷体"/>
          <w:spacing w:val="-4"/>
          <w:sz w:val="28"/>
          <w:szCs w:val="28"/>
        </w:rPr>
        <w:t>提高职工的清洁生产意识。</w:t>
      </w:r>
    </w:p>
    <w:p>
      <w:pPr>
        <w:spacing w:before="193"/>
        <w:ind w:firstLine="593"/>
        <w:outlineLvl w:val="1"/>
        <w:rPr>
          <w:rFonts w:ascii="楷体" w:hAnsi="楷体" w:eastAsia="楷体" w:cs="楷体"/>
          <w:sz w:val="28"/>
          <w:szCs w:val="28"/>
        </w:rPr>
      </w:pPr>
      <w:r>
        <w:rPr>
          <w:rFonts w:hint="eastAsia" w:ascii="楷体" w:hAnsi="楷体" w:eastAsia="楷体" w:cs="楷体"/>
          <w:sz w:val="28"/>
          <w:szCs w:val="28"/>
        </w:rPr>
        <w:t>天顺风能严格遵守能源和资源使用相关的法律法规和标准要求，持续完善</w:t>
      </w:r>
      <w:r>
        <w:rPr>
          <w:rFonts w:ascii="楷体" w:hAnsi="楷体" w:eastAsia="楷体" w:cs="楷体"/>
          <w:sz w:val="28"/>
          <w:szCs w:val="28"/>
        </w:rPr>
        <w:t xml:space="preserve"> ISO14001 </w:t>
      </w:r>
      <w:r>
        <w:rPr>
          <w:rFonts w:hint="eastAsia" w:ascii="楷体" w:hAnsi="楷体" w:eastAsia="楷体" w:cs="楷体"/>
          <w:sz w:val="28"/>
          <w:szCs w:val="28"/>
        </w:rPr>
        <w:t>环境管理体系，定期进行环境因素辨识和评价；建立环境信息统计台账，监控和统计各项能源和资源使用情况。公司在塔筒制造、叶片电场开发建设的过程中，使用的主要能源和资源为办公及生产用电、水处理业务以消耗电力为主，同时还有车辆使用汽油、</w:t>
      </w:r>
      <w:r>
        <w:rPr>
          <w:rFonts w:ascii="楷体" w:hAnsi="楷体" w:eastAsia="楷体" w:cs="楷体"/>
          <w:sz w:val="28"/>
          <w:szCs w:val="28"/>
        </w:rPr>
        <w:t xml:space="preserve"> </w:t>
      </w:r>
      <w:r>
        <w:rPr>
          <w:rFonts w:hint="eastAsia" w:ascii="楷体" w:hAnsi="楷体" w:eastAsia="楷体" w:cs="楷体"/>
          <w:sz w:val="28"/>
          <w:szCs w:val="28"/>
        </w:rPr>
        <w:t>柴油，员工餐饮使用天然气和液化石油气等能源。水主要用于员工办公及食堂使用；在风电场开发建设运行过程中，仅使用少量水用于施工、防止扬尘和绿化等。</w:t>
      </w:r>
    </w:p>
    <w:p>
      <w:pPr>
        <w:ind w:firstLine="840" w:firstLineChars="300"/>
        <w:rPr>
          <w:rFonts w:ascii="楷体" w:hAnsi="楷体" w:eastAsia="楷体" w:cs="楷体"/>
          <w:sz w:val="28"/>
          <w:szCs w:val="28"/>
        </w:rPr>
      </w:pPr>
      <w:r>
        <w:rPr>
          <w:rFonts w:hint="eastAsia" w:ascii="楷体" w:hAnsi="楷体" w:eastAsia="楷体" w:cs="楷体"/>
          <w:sz w:val="28"/>
          <w:szCs w:val="28"/>
        </w:rPr>
        <w:t>公司强化计量管理，按照电力、汽油、柴油消耗等类别，收集和统计使用各类资源和能源的信息，核算查找能耗产生环节和部位，检查设备运行及维修情况，挖掘节约资源和提高资源使用效率的潜力。</w:t>
      </w:r>
      <w:r>
        <w:rPr>
          <w:rFonts w:ascii="楷体" w:hAnsi="楷体" w:eastAsia="楷体" w:cs="楷体"/>
          <w:sz w:val="28"/>
          <w:szCs w:val="28"/>
        </w:rPr>
        <w:t>2021</w:t>
      </w:r>
      <w:r>
        <w:rPr>
          <w:rFonts w:hint="eastAsia" w:ascii="楷体" w:hAnsi="楷体" w:eastAsia="楷体" w:cs="楷体"/>
          <w:sz w:val="28"/>
          <w:szCs w:val="28"/>
        </w:rPr>
        <w:t>年</w:t>
      </w:r>
      <w:r>
        <w:rPr>
          <w:rFonts w:hint="eastAsia" w:ascii="楷体" w:hAnsi="楷体" w:eastAsia="楷体" w:cs="楷体"/>
          <w:color w:val="auto"/>
          <w:sz w:val="28"/>
          <w:szCs w:val="28"/>
        </w:rPr>
        <w:t>，公司通过更换技术成熟、能源和资源消耗低的工艺、技术和设备，优化工艺路线，更换节能型灯具，减少设备的无负荷运转时间，合理规划用车等方式，</w:t>
      </w:r>
      <w:r>
        <w:rPr>
          <w:rFonts w:hint="eastAsia" w:ascii="楷体" w:hAnsi="楷体" w:eastAsia="楷体" w:cs="楷体"/>
          <w:sz w:val="28"/>
          <w:szCs w:val="28"/>
        </w:rPr>
        <w:t>加强能源使用管理。太仓工厂内与通道内照明设施，每天减少用电量</w:t>
      </w:r>
      <w:r>
        <w:rPr>
          <w:rFonts w:ascii="楷体" w:hAnsi="楷体" w:eastAsia="楷体" w:cs="楷体"/>
          <w:sz w:val="28"/>
          <w:szCs w:val="28"/>
        </w:rPr>
        <w:t>1000</w:t>
      </w:r>
      <w:r>
        <w:rPr>
          <w:rFonts w:hint="eastAsia" w:ascii="楷体" w:hAnsi="楷体" w:eastAsia="楷体" w:cs="楷体"/>
          <w:sz w:val="28"/>
          <w:szCs w:val="28"/>
        </w:rPr>
        <w:t>度，全年减少总用电量的3%。</w:t>
      </w:r>
    </w:p>
    <w:p>
      <w:pPr>
        <w:ind w:firstLine="560" w:firstLineChars="200"/>
        <w:rPr>
          <w:rFonts w:ascii="楷体" w:hAnsi="楷体" w:eastAsia="楷体" w:cs="楷体"/>
          <w:sz w:val="28"/>
          <w:szCs w:val="28"/>
        </w:rPr>
      </w:pPr>
      <w:r>
        <w:rPr>
          <w:rFonts w:hint="eastAsia" w:ascii="楷体" w:hAnsi="楷体" w:eastAsia="楷体" w:cs="楷体"/>
          <w:sz w:val="28"/>
          <w:szCs w:val="28"/>
        </w:rPr>
        <w:t>公司作为新能源企业的一份子，响应国家</w:t>
      </w:r>
      <w:r>
        <w:rPr>
          <w:rFonts w:ascii="楷体" w:hAnsi="楷体" w:eastAsia="楷体" w:cs="楷体"/>
          <w:sz w:val="28"/>
          <w:szCs w:val="28"/>
        </w:rPr>
        <w:t>3060</w:t>
      </w:r>
      <w:r>
        <w:rPr>
          <w:rFonts w:hint="eastAsia" w:ascii="楷体" w:hAnsi="楷体" w:eastAsia="楷体" w:cs="楷体"/>
          <w:sz w:val="28"/>
          <w:szCs w:val="28"/>
        </w:rPr>
        <w:t>碳中和的号召，主动节能减排降低碳排放，采取了如下的措施：</w:t>
      </w:r>
      <w:r>
        <w:rPr>
          <w:rFonts w:ascii="楷体" w:hAnsi="楷体" w:eastAsia="楷体" w:cs="楷体"/>
          <w:sz w:val="28"/>
          <w:szCs w:val="28"/>
        </w:rPr>
        <w:t>1</w:t>
      </w:r>
      <w:r>
        <w:rPr>
          <w:rFonts w:hint="eastAsia" w:ascii="楷体" w:hAnsi="楷体" w:eastAsia="楷体" w:cs="楷体"/>
          <w:sz w:val="28"/>
          <w:szCs w:val="28"/>
        </w:rPr>
        <w:t>，厂区照明灯具做到人走灯灭，减少电能的浪费，中午休息时、下班后关闭办公室和作业场所的灯具和用电设备；</w:t>
      </w:r>
      <w:r>
        <w:rPr>
          <w:rFonts w:ascii="楷体" w:hAnsi="楷体" w:eastAsia="楷体" w:cs="楷体"/>
          <w:sz w:val="28"/>
          <w:szCs w:val="28"/>
        </w:rPr>
        <w:t>2</w:t>
      </w:r>
      <w:r>
        <w:rPr>
          <w:rFonts w:hint="eastAsia" w:ascii="楷体" w:hAnsi="楷体" w:eastAsia="楷体" w:cs="楷体"/>
          <w:sz w:val="28"/>
          <w:szCs w:val="28"/>
        </w:rPr>
        <w:t>安排专人每天对汇流房和车间气路进行巡视检查，发现泄漏及时维修堵漏，减少压缩机的用电量；</w:t>
      </w:r>
      <w:r>
        <w:rPr>
          <w:rFonts w:ascii="楷体" w:hAnsi="楷体" w:eastAsia="楷体" w:cs="楷体"/>
          <w:sz w:val="28"/>
          <w:szCs w:val="28"/>
        </w:rPr>
        <w:t>3.</w:t>
      </w:r>
      <w:r>
        <w:rPr>
          <w:rFonts w:hint="eastAsia" w:ascii="楷体" w:hAnsi="楷体" w:eastAsia="楷体" w:cs="楷体"/>
          <w:sz w:val="28"/>
          <w:szCs w:val="28"/>
        </w:rPr>
        <w:t>仓管员定时查看气体表盘存量并提交每日报表：两次气体记录动态表（上午：</w:t>
      </w:r>
      <w:r>
        <w:rPr>
          <w:rFonts w:ascii="楷体" w:hAnsi="楷体" w:eastAsia="楷体" w:cs="楷体"/>
          <w:sz w:val="28"/>
          <w:szCs w:val="28"/>
        </w:rPr>
        <w:t>8</w:t>
      </w:r>
      <w:r>
        <w:rPr>
          <w:rFonts w:hint="eastAsia" w:ascii="楷体" w:hAnsi="楷体" w:eastAsia="楷体" w:cs="楷体"/>
          <w:sz w:val="28"/>
          <w:szCs w:val="28"/>
        </w:rPr>
        <w:t>：</w:t>
      </w:r>
      <w:r>
        <w:rPr>
          <w:rFonts w:ascii="楷体" w:hAnsi="楷体" w:eastAsia="楷体" w:cs="楷体"/>
          <w:sz w:val="28"/>
          <w:szCs w:val="28"/>
        </w:rPr>
        <w:t>30</w:t>
      </w:r>
      <w:r>
        <w:rPr>
          <w:rFonts w:hint="eastAsia" w:ascii="楷体" w:hAnsi="楷体" w:eastAsia="楷体" w:cs="楷体"/>
          <w:sz w:val="28"/>
          <w:szCs w:val="28"/>
        </w:rPr>
        <w:t>，下午：</w:t>
      </w:r>
      <w:r>
        <w:rPr>
          <w:rFonts w:ascii="楷体" w:hAnsi="楷体" w:eastAsia="楷体" w:cs="楷体"/>
          <w:sz w:val="28"/>
          <w:szCs w:val="28"/>
        </w:rPr>
        <w:t>16</w:t>
      </w:r>
      <w:r>
        <w:rPr>
          <w:rFonts w:hint="eastAsia" w:ascii="楷体" w:hAnsi="楷体" w:eastAsia="楷体" w:cs="楷体"/>
          <w:sz w:val="28"/>
          <w:szCs w:val="28"/>
        </w:rPr>
        <w:t>：</w:t>
      </w:r>
      <w:r>
        <w:rPr>
          <w:rFonts w:ascii="楷体" w:hAnsi="楷体" w:eastAsia="楷体" w:cs="楷体"/>
          <w:sz w:val="28"/>
          <w:szCs w:val="28"/>
        </w:rPr>
        <w:t>00</w:t>
      </w:r>
      <w:r>
        <w:rPr>
          <w:rFonts w:hint="eastAsia" w:ascii="楷体" w:hAnsi="楷体" w:eastAsia="楷体" w:cs="楷体"/>
          <w:sz w:val="28"/>
          <w:szCs w:val="28"/>
        </w:rPr>
        <w:t>），确保气体库存合理；</w:t>
      </w:r>
      <w:r>
        <w:rPr>
          <w:rFonts w:ascii="楷体" w:hAnsi="楷体" w:eastAsia="楷体" w:cs="楷体"/>
          <w:sz w:val="28"/>
          <w:szCs w:val="28"/>
        </w:rPr>
        <w:t>4.</w:t>
      </w:r>
      <w:r>
        <w:rPr>
          <w:rFonts w:hint="eastAsia" w:ascii="楷体" w:hAnsi="楷体" w:eastAsia="楷体" w:cs="楷体"/>
          <w:sz w:val="28"/>
          <w:szCs w:val="28"/>
        </w:rPr>
        <w:t>生产部每月对用水量进行统计，如发现用水量异常增加，应分析原因，制定措施，寻求改进；</w:t>
      </w:r>
      <w:r>
        <w:rPr>
          <w:rFonts w:ascii="楷体" w:hAnsi="楷体" w:eastAsia="楷体" w:cs="楷体"/>
          <w:sz w:val="28"/>
          <w:szCs w:val="28"/>
        </w:rPr>
        <w:t>5.</w:t>
      </w:r>
      <w:r>
        <w:rPr>
          <w:rFonts w:hint="eastAsia" w:ascii="楷体" w:hAnsi="楷体" w:eastAsia="楷体" w:cs="楷体"/>
          <w:sz w:val="28"/>
          <w:szCs w:val="28"/>
        </w:rPr>
        <w:t>在预处理场、卫生间等公共场所设置节约用水标志，提醒节约用水；</w:t>
      </w:r>
      <w:r>
        <w:rPr>
          <w:rFonts w:ascii="楷体" w:hAnsi="楷体" w:eastAsia="楷体" w:cs="楷体"/>
          <w:sz w:val="28"/>
          <w:szCs w:val="28"/>
        </w:rPr>
        <w:t>6</w:t>
      </w:r>
      <w:r>
        <w:rPr>
          <w:rFonts w:hint="eastAsia" w:ascii="楷体" w:hAnsi="楷体" w:eastAsia="楷体" w:cs="楷体"/>
          <w:sz w:val="28"/>
          <w:szCs w:val="28"/>
        </w:rPr>
        <w:t>，维修设备采用符合国家标准的低能耗电机，设备购置时优先采用低能耗机组；</w:t>
      </w:r>
      <w:r>
        <w:rPr>
          <w:rFonts w:ascii="楷体" w:hAnsi="楷体" w:eastAsia="楷体" w:cs="楷体"/>
          <w:sz w:val="28"/>
          <w:szCs w:val="28"/>
        </w:rPr>
        <w:t>7</w:t>
      </w:r>
      <w:r>
        <w:rPr>
          <w:rFonts w:hint="eastAsia" w:ascii="楷体" w:hAnsi="楷体" w:eastAsia="楷体" w:cs="楷体"/>
          <w:sz w:val="28"/>
          <w:szCs w:val="28"/>
        </w:rPr>
        <w:t>，安排市区到工厂的班车，鼓励员工乘坐班车，减少私家车的尾气排放；</w:t>
      </w:r>
      <w:r>
        <w:rPr>
          <w:rFonts w:ascii="楷体" w:hAnsi="楷体" w:eastAsia="楷体" w:cs="楷体"/>
          <w:sz w:val="28"/>
          <w:szCs w:val="28"/>
        </w:rPr>
        <w:t>8</w:t>
      </w:r>
      <w:r>
        <w:rPr>
          <w:rFonts w:hint="eastAsia" w:ascii="楷体" w:hAnsi="楷体" w:eastAsia="楷体" w:cs="楷体"/>
          <w:sz w:val="28"/>
          <w:szCs w:val="28"/>
        </w:rPr>
        <w:t>，仓库的柴油叉车全部更换为电瓶叉车，减少碳排放；</w:t>
      </w:r>
      <w:r>
        <w:rPr>
          <w:rFonts w:ascii="楷体" w:hAnsi="楷体" w:eastAsia="楷体" w:cs="楷体"/>
          <w:sz w:val="28"/>
          <w:szCs w:val="28"/>
        </w:rPr>
        <w:t>9</w:t>
      </w:r>
      <w:r>
        <w:rPr>
          <w:rFonts w:hint="eastAsia" w:ascii="楷体" w:hAnsi="楷体" w:eastAsia="楷体" w:cs="楷体"/>
          <w:sz w:val="28"/>
          <w:szCs w:val="28"/>
        </w:rPr>
        <w:t>，整个厂区包括车间的照明灯全部更换为节能灯，每年为公司节省了大量电费，同时也减少了碳排放；</w:t>
      </w:r>
      <w:r>
        <w:rPr>
          <w:rFonts w:ascii="楷体" w:hAnsi="楷体" w:eastAsia="楷体" w:cs="楷体"/>
          <w:sz w:val="28"/>
          <w:szCs w:val="28"/>
        </w:rPr>
        <w:t>10</w:t>
      </w:r>
      <w:r>
        <w:rPr>
          <w:rFonts w:hint="eastAsia" w:ascii="楷体" w:hAnsi="楷体" w:eastAsia="楷体" w:cs="楷体"/>
          <w:sz w:val="28"/>
          <w:szCs w:val="28"/>
        </w:rPr>
        <w:t>，公司</w:t>
      </w:r>
      <w:r>
        <w:rPr>
          <w:rFonts w:ascii="楷体" w:hAnsi="楷体" w:eastAsia="楷体" w:cs="楷体"/>
          <w:sz w:val="28"/>
          <w:szCs w:val="28"/>
        </w:rPr>
        <w:t>2021</w:t>
      </w:r>
      <w:r>
        <w:rPr>
          <w:rFonts w:hint="eastAsia" w:ascii="楷体" w:hAnsi="楷体" w:eastAsia="楷体" w:cs="楷体"/>
          <w:sz w:val="28"/>
          <w:szCs w:val="28"/>
        </w:rPr>
        <w:t>年建立了一期太阳能汽车棚，为新能源汽车充电，鼓励员工购置新能源车上班。</w:t>
      </w:r>
    </w:p>
    <w:p>
      <w:pPr>
        <w:ind w:firstLine="560" w:firstLineChars="200"/>
        <w:rPr>
          <w:rFonts w:ascii="楷体" w:hAnsi="楷体" w:eastAsia="楷体" w:cs="楷体"/>
          <w:sz w:val="28"/>
          <w:szCs w:val="28"/>
        </w:rPr>
      </w:pPr>
      <w:r>
        <w:rPr>
          <w:rFonts w:ascii="楷体" w:hAnsi="楷体" w:eastAsia="楷体" w:cs="楷体"/>
          <w:sz w:val="28"/>
          <w:szCs w:val="28"/>
        </w:rPr>
        <w:t>2021</w:t>
      </w:r>
      <w:r>
        <w:rPr>
          <w:rFonts w:hint="eastAsia" w:ascii="楷体" w:hAnsi="楷体" w:eastAsia="楷体" w:cs="楷体"/>
          <w:sz w:val="28"/>
          <w:szCs w:val="28"/>
        </w:rPr>
        <w:t>年，公司提出能耗降低的目标，承诺在十四五期间逐年提升能源和资源的利用效率，力争在</w:t>
      </w:r>
      <w:r>
        <w:rPr>
          <w:rFonts w:ascii="楷体" w:hAnsi="楷体" w:eastAsia="楷体" w:cs="楷体"/>
          <w:sz w:val="28"/>
          <w:szCs w:val="28"/>
        </w:rPr>
        <w:t>2025</w:t>
      </w:r>
      <w:r>
        <w:rPr>
          <w:rFonts w:hint="eastAsia" w:ascii="楷体" w:hAnsi="楷体" w:eastAsia="楷体" w:cs="楷体"/>
          <w:sz w:val="28"/>
          <w:szCs w:val="28"/>
        </w:rPr>
        <w:t>年实现能源使用效率比</w:t>
      </w:r>
      <w:r>
        <w:rPr>
          <w:rFonts w:ascii="楷体" w:hAnsi="楷体" w:eastAsia="楷体" w:cs="楷体"/>
          <w:sz w:val="28"/>
          <w:szCs w:val="28"/>
        </w:rPr>
        <w:t>2020</w:t>
      </w:r>
      <w:r>
        <w:rPr>
          <w:rFonts w:hint="eastAsia" w:ascii="楷体" w:hAnsi="楷体" w:eastAsia="楷体" w:cs="楷体"/>
          <w:sz w:val="28"/>
          <w:szCs w:val="28"/>
        </w:rPr>
        <w:t>年提升</w:t>
      </w:r>
      <w:r>
        <w:rPr>
          <w:rFonts w:ascii="楷体" w:hAnsi="楷体" w:eastAsia="楷体" w:cs="楷体"/>
          <w:sz w:val="28"/>
          <w:szCs w:val="28"/>
        </w:rPr>
        <w:t>20%</w:t>
      </w:r>
      <w:r>
        <w:rPr>
          <w:rFonts w:hint="eastAsia" w:ascii="楷体" w:hAnsi="楷体" w:eastAsia="楷体" w:cs="楷体"/>
          <w:sz w:val="28"/>
          <w:szCs w:val="28"/>
        </w:rPr>
        <w:t>。</w:t>
      </w:r>
    </w:p>
    <w:p>
      <w:pPr>
        <w:ind w:firstLine="560" w:firstLineChars="200"/>
        <w:rPr>
          <w:rFonts w:ascii="楷体" w:hAnsi="楷体" w:eastAsia="楷体" w:cs="楷体"/>
          <w:sz w:val="28"/>
          <w:szCs w:val="28"/>
        </w:rPr>
      </w:pPr>
      <w:r>
        <w:rPr>
          <w:rFonts w:hint="eastAsia" w:ascii="楷体" w:hAnsi="楷体" w:eastAsia="楷体" w:cs="楷体"/>
          <w:sz w:val="28"/>
          <w:szCs w:val="28"/>
        </w:rPr>
        <w:t>公司关注塔筒和叶片材料包装运输的回收再利用，利用</w:t>
      </w:r>
      <w:r>
        <w:rPr>
          <w:rFonts w:ascii="楷体" w:hAnsi="楷体" w:eastAsia="楷体" w:cs="楷体"/>
          <w:sz w:val="28"/>
          <w:szCs w:val="28"/>
        </w:rPr>
        <w:t>3R</w:t>
      </w:r>
      <w:r>
        <w:rPr>
          <w:rFonts w:hint="eastAsia" w:ascii="楷体" w:hAnsi="楷体" w:eastAsia="楷体" w:cs="楷体"/>
          <w:sz w:val="28"/>
          <w:szCs w:val="28"/>
        </w:rPr>
        <w:t>原则，即再利用（</w:t>
      </w:r>
      <w:r>
        <w:rPr>
          <w:rFonts w:ascii="楷体" w:hAnsi="楷体" w:eastAsia="楷体" w:cs="楷体"/>
          <w:sz w:val="28"/>
          <w:szCs w:val="28"/>
        </w:rPr>
        <w:t>Reuse</w:t>
      </w:r>
      <w:r>
        <w:rPr>
          <w:rFonts w:hint="eastAsia" w:ascii="楷体" w:hAnsi="楷体" w:eastAsia="楷体" w:cs="楷体"/>
          <w:sz w:val="28"/>
          <w:szCs w:val="28"/>
        </w:rPr>
        <w:t>）、再循环（</w:t>
      </w:r>
      <w:r>
        <w:rPr>
          <w:rFonts w:ascii="楷体" w:hAnsi="楷体" w:eastAsia="楷体" w:cs="楷体"/>
          <w:sz w:val="28"/>
          <w:szCs w:val="28"/>
        </w:rPr>
        <w:t>Recycle</w:t>
      </w:r>
      <w:r>
        <w:rPr>
          <w:rFonts w:hint="eastAsia" w:ascii="楷体" w:hAnsi="楷体" w:eastAsia="楷体" w:cs="楷体"/>
          <w:sz w:val="28"/>
          <w:szCs w:val="28"/>
        </w:rPr>
        <w:t>）和减量化（</w:t>
      </w:r>
      <w:r>
        <w:rPr>
          <w:rFonts w:ascii="楷体" w:hAnsi="楷体" w:eastAsia="楷体" w:cs="楷体"/>
          <w:sz w:val="28"/>
          <w:szCs w:val="28"/>
        </w:rPr>
        <w:t>Reduce</w:t>
      </w:r>
      <w:r>
        <w:rPr>
          <w:rFonts w:hint="eastAsia" w:ascii="楷体" w:hAnsi="楷体" w:eastAsia="楷体" w:cs="楷体"/>
          <w:sz w:val="28"/>
          <w:szCs w:val="28"/>
        </w:rPr>
        <w:t>），探索包装材料和运输工装再利用途径。将生产过程中或供应商的来料包装箱，替代现有木制或铁质包装，实现包装的循环利用和减少木材消耗的绿色环保价值。</w:t>
      </w:r>
    </w:p>
    <w:p>
      <w:pPr>
        <w:spacing w:before="91"/>
        <w:ind w:firstLine="595"/>
        <w:rPr>
          <w:rFonts w:ascii="楷体" w:hAnsi="楷体" w:eastAsia="楷体" w:cs="楷体"/>
          <w:spacing w:val="-1"/>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三</w:t>
      </w:r>
      <w:r>
        <w:rPr>
          <w:rFonts w:ascii="楷体" w:hAnsi="楷体" w:eastAsia="楷体" w:cs="楷体"/>
          <w:spacing w:val="-1"/>
          <w:sz w:val="28"/>
          <w:szCs w:val="28"/>
          <w14:textOutline w14:w="5003" w14:cap="flat" w14:cmpd="sng" w14:algn="ctr">
            <w14:solidFill>
              <w14:srgbClr w14:val="000000"/>
            </w14:solidFill>
            <w14:prstDash w14:val="solid"/>
            <w14:miter w14:val="0"/>
          </w14:textOutline>
        </w:rPr>
        <w:t xml:space="preserve"> </w:t>
      </w: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碳足迹数据（开展碳排查）和绿色电力使用情况</w:t>
      </w:r>
    </w:p>
    <w:p>
      <w:pPr>
        <w:rPr>
          <w:rFonts w:ascii="楷体" w:hAnsi="楷体" w:eastAsia="楷体" w:cs="楷体"/>
          <w:b/>
          <w:sz w:val="28"/>
          <w:szCs w:val="28"/>
        </w:rPr>
      </w:pPr>
    </w:p>
    <w:p>
      <w:pPr>
        <w:ind w:firstLine="560" w:firstLineChars="200"/>
        <w:rPr>
          <w:rFonts w:ascii="楷体" w:hAnsi="楷体" w:eastAsia="楷体" w:cs="楷体"/>
          <w:sz w:val="28"/>
          <w:szCs w:val="28"/>
        </w:rPr>
      </w:pPr>
      <w:r>
        <w:rPr>
          <w:rFonts w:hint="eastAsia" w:ascii="楷体" w:hAnsi="楷体" w:eastAsia="楷体" w:cs="楷体"/>
          <w:sz w:val="28"/>
          <w:szCs w:val="28"/>
        </w:rPr>
        <w:t>公司积极开展碳足迹排查，生产过程中会用到电力，热力，甲烷，柴油，天然气，汽油能源，由此产生的主要的温室气体有三种</w:t>
      </w:r>
      <w:r>
        <w:rPr>
          <w:rFonts w:ascii="楷体" w:hAnsi="楷体" w:eastAsia="楷体" w:cs="楷体"/>
          <w:sz w:val="28"/>
          <w:szCs w:val="28"/>
        </w:rPr>
        <w:t>:</w:t>
      </w:r>
      <w:r>
        <w:rPr>
          <w:rFonts w:hint="eastAsia" w:ascii="楷体" w:hAnsi="楷体" w:eastAsia="楷体" w:cs="楷体"/>
          <w:sz w:val="28"/>
          <w:szCs w:val="28"/>
        </w:rPr>
        <w:t>二氧化碳</w:t>
      </w:r>
      <w:r>
        <w:rPr>
          <w:rFonts w:ascii="楷体" w:hAnsi="楷体" w:eastAsia="楷体" w:cs="楷体"/>
          <w:sz w:val="28"/>
          <w:szCs w:val="28"/>
        </w:rPr>
        <w:t>(CO2)</w:t>
      </w:r>
      <w:r>
        <w:rPr>
          <w:rFonts w:hint="eastAsia" w:ascii="楷体" w:hAnsi="楷体" w:eastAsia="楷体" w:cs="楷体"/>
          <w:sz w:val="28"/>
          <w:szCs w:val="28"/>
        </w:rPr>
        <w:t>、甲烷</w:t>
      </w:r>
      <w:r>
        <w:rPr>
          <w:rFonts w:ascii="楷体" w:hAnsi="楷体" w:eastAsia="楷体" w:cs="楷体"/>
          <w:sz w:val="28"/>
          <w:szCs w:val="28"/>
        </w:rPr>
        <w:t>(CH4)</w:t>
      </w:r>
      <w:r>
        <w:rPr>
          <w:rFonts w:hint="eastAsia" w:ascii="楷体" w:hAnsi="楷体" w:eastAsia="楷体" w:cs="楷体"/>
          <w:sz w:val="28"/>
          <w:szCs w:val="28"/>
        </w:rPr>
        <w:t>、氧化亚氮</w:t>
      </w:r>
      <w:r>
        <w:rPr>
          <w:rFonts w:ascii="楷体" w:hAnsi="楷体" w:eastAsia="楷体" w:cs="楷体"/>
          <w:sz w:val="28"/>
          <w:szCs w:val="28"/>
        </w:rPr>
        <w:t>(N2O)</w:t>
      </w:r>
      <w:r>
        <w:rPr>
          <w:rFonts w:hint="eastAsia" w:ascii="楷体" w:hAnsi="楷体" w:eastAsia="楷体" w:cs="楷体"/>
          <w:sz w:val="28"/>
          <w:szCs w:val="28"/>
        </w:rPr>
        <w:t>。燃烧燃料时主要排放二氧化碳。少量的甲烷和一氧化二氮也会被排放出来。因此，排放量被计算为结合三种温室气体的全球变暖潜力的二氧化碳当量。根据排放源的不同，CO2排放被划分为三个范围，但公司主要涉及到两个范围，范围1（直接能源）：甲烷，柴油，天然气和汽油，由此产生的二氧化碳排放当量为8746.69吨；范围2（二次能源）：电力和热力（蒸汽），由此产生的二氧化碳排放当量为36891.9吨；由此可见，电力和热力产生的二氧化碳占主体，比例为80%以上；</w:t>
      </w:r>
    </w:p>
    <w:p>
      <w:pPr>
        <w:rPr>
          <w:rFonts w:ascii="楷体" w:hAnsi="楷体" w:eastAsia="楷体" w:cs="楷体"/>
          <w:sz w:val="28"/>
          <w:szCs w:val="28"/>
        </w:rPr>
      </w:pPr>
      <w:r>
        <w:rPr>
          <w:rFonts w:hint="eastAsia" w:ascii="楷体" w:hAnsi="楷体" w:eastAsia="楷体" w:cs="楷体"/>
          <w:sz w:val="28"/>
          <w:szCs w:val="28"/>
        </w:rPr>
        <w:t xml:space="preserve">  公司能源产生的温室气体排放如下表：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519"/>
        <w:gridCol w:w="1423"/>
        <w:gridCol w:w="1470"/>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楷体" w:hAnsi="楷体" w:eastAsia="楷体" w:cs="楷体"/>
                <w:sz w:val="28"/>
                <w:szCs w:val="28"/>
              </w:rPr>
            </w:pPr>
            <w:r>
              <w:rPr>
                <w:rFonts w:hint="eastAsia" w:ascii="楷体" w:hAnsi="楷体" w:eastAsia="楷体" w:cs="楷体"/>
                <w:sz w:val="28"/>
                <w:szCs w:val="28"/>
              </w:rPr>
              <w:t>能源种类</w:t>
            </w:r>
          </w:p>
        </w:tc>
        <w:tc>
          <w:tcPr>
            <w:tcW w:w="1519" w:type="dxa"/>
          </w:tcPr>
          <w:p>
            <w:pPr>
              <w:rPr>
                <w:rFonts w:ascii="楷体" w:hAnsi="楷体" w:eastAsia="楷体" w:cs="楷体"/>
                <w:sz w:val="28"/>
                <w:szCs w:val="28"/>
              </w:rPr>
            </w:pPr>
            <w:r>
              <w:rPr>
                <w:rFonts w:hint="eastAsia" w:ascii="楷体" w:hAnsi="楷体" w:eastAsia="楷体" w:cs="楷体"/>
                <w:sz w:val="28"/>
                <w:szCs w:val="28"/>
              </w:rPr>
              <w:t>年用量</w:t>
            </w:r>
          </w:p>
        </w:tc>
        <w:tc>
          <w:tcPr>
            <w:tcW w:w="1423" w:type="dxa"/>
          </w:tcPr>
          <w:p>
            <w:pPr>
              <w:rPr>
                <w:rFonts w:ascii="楷体" w:hAnsi="楷体" w:eastAsia="楷体" w:cs="楷体"/>
                <w:sz w:val="28"/>
                <w:szCs w:val="28"/>
              </w:rPr>
            </w:pPr>
            <w:r>
              <w:rPr>
                <w:rFonts w:hint="eastAsia" w:ascii="楷体" w:hAnsi="楷体" w:eastAsia="楷体" w:cs="楷体"/>
                <w:sz w:val="28"/>
                <w:szCs w:val="28"/>
              </w:rPr>
              <w:t>标煤</w:t>
            </w:r>
            <w:r>
              <w:rPr>
                <w:rFonts w:hint="eastAsia" w:ascii="楷体" w:hAnsi="楷体" w:eastAsia="楷体" w:cs="楷体"/>
                <w:sz w:val="15"/>
                <w:szCs w:val="15"/>
              </w:rPr>
              <w:t>（兆瓦时）</w:t>
            </w:r>
          </w:p>
        </w:tc>
        <w:tc>
          <w:tcPr>
            <w:tcW w:w="1470" w:type="dxa"/>
          </w:tcPr>
          <w:p>
            <w:pPr>
              <w:rPr>
                <w:rFonts w:ascii="楷体" w:hAnsi="楷体" w:eastAsia="楷体" w:cs="楷体"/>
                <w:sz w:val="28"/>
                <w:szCs w:val="28"/>
              </w:rPr>
            </w:pPr>
            <w:r>
              <w:rPr>
                <w:rFonts w:hint="eastAsia" w:ascii="楷体" w:hAnsi="楷体" w:eastAsia="楷体" w:cs="楷体"/>
                <w:sz w:val="28"/>
                <w:szCs w:val="28"/>
              </w:rPr>
              <w:t>Co</w:t>
            </w:r>
            <w:r>
              <w:rPr>
                <w:rFonts w:ascii="楷体" w:hAnsi="楷体" w:eastAsia="楷体" w:cs="楷体"/>
                <w:sz w:val="28"/>
                <w:szCs w:val="28"/>
              </w:rPr>
              <w:t>2</w:t>
            </w:r>
          </w:p>
        </w:tc>
        <w:tc>
          <w:tcPr>
            <w:tcW w:w="1304" w:type="dxa"/>
          </w:tcPr>
          <w:p>
            <w:pPr>
              <w:rPr>
                <w:rFonts w:ascii="楷体" w:hAnsi="楷体" w:eastAsia="楷体" w:cs="楷体"/>
                <w:sz w:val="28"/>
                <w:szCs w:val="28"/>
              </w:rPr>
            </w:pPr>
            <w:r>
              <w:rPr>
                <w:rFonts w:hint="eastAsia" w:ascii="楷体" w:hAnsi="楷体" w:eastAsia="楷体" w:cs="楷体"/>
                <w:sz w:val="28"/>
                <w:szCs w:val="28"/>
              </w:rPr>
              <w:t>N2O</w:t>
            </w:r>
          </w:p>
        </w:tc>
        <w:tc>
          <w:tcPr>
            <w:tcW w:w="1304" w:type="dxa"/>
          </w:tcPr>
          <w:p>
            <w:pPr>
              <w:rPr>
                <w:rFonts w:ascii="楷体" w:hAnsi="楷体" w:eastAsia="楷体" w:cs="楷体"/>
                <w:sz w:val="28"/>
                <w:szCs w:val="28"/>
              </w:rPr>
            </w:pPr>
            <w:r>
              <w:rPr>
                <w:rFonts w:hint="eastAsia" w:ascii="楷体" w:hAnsi="楷体" w:eastAsia="楷体" w:cs="楷体"/>
                <w:sz w:val="28"/>
                <w:szCs w:val="28"/>
              </w:rPr>
              <w:t>CH4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楷体" w:hAnsi="楷体" w:eastAsia="楷体" w:cs="楷体"/>
                <w:sz w:val="28"/>
                <w:szCs w:val="28"/>
              </w:rPr>
            </w:pPr>
            <w:r>
              <w:rPr>
                <w:rFonts w:hint="eastAsia" w:ascii="楷体" w:hAnsi="楷体" w:eastAsia="楷体" w:cs="楷体"/>
                <w:sz w:val="28"/>
                <w:szCs w:val="28"/>
              </w:rPr>
              <w:t>丙烷</w:t>
            </w:r>
          </w:p>
        </w:tc>
        <w:tc>
          <w:tcPr>
            <w:tcW w:w="1519" w:type="dxa"/>
          </w:tcPr>
          <w:p>
            <w:pPr>
              <w:rPr>
                <w:rFonts w:ascii="楷体" w:hAnsi="楷体" w:eastAsia="楷体" w:cs="楷体"/>
                <w:sz w:val="28"/>
                <w:szCs w:val="28"/>
              </w:rPr>
            </w:pPr>
            <w:r>
              <w:rPr>
                <w:rFonts w:hint="eastAsia" w:ascii="楷体" w:hAnsi="楷体" w:eastAsia="楷体" w:cs="楷体"/>
                <w:sz w:val="28"/>
                <w:szCs w:val="28"/>
              </w:rPr>
              <w:t>1316吨</w:t>
            </w:r>
          </w:p>
        </w:tc>
        <w:tc>
          <w:tcPr>
            <w:tcW w:w="1423" w:type="dxa"/>
          </w:tcPr>
          <w:p>
            <w:pPr>
              <w:rPr>
                <w:rFonts w:ascii="楷体" w:hAnsi="楷体" w:eastAsia="楷体" w:cs="楷体"/>
                <w:sz w:val="28"/>
                <w:szCs w:val="28"/>
              </w:rPr>
            </w:pPr>
            <w:r>
              <w:rPr>
                <w:rFonts w:hint="eastAsia" w:ascii="楷体" w:hAnsi="楷体" w:eastAsia="楷体" w:cs="楷体"/>
                <w:sz w:val="28"/>
                <w:szCs w:val="28"/>
              </w:rPr>
              <w:t>9625</w:t>
            </w:r>
          </w:p>
        </w:tc>
        <w:tc>
          <w:tcPr>
            <w:tcW w:w="1470" w:type="dxa"/>
            <w:vMerge w:val="restart"/>
          </w:tcPr>
          <w:p>
            <w:pPr>
              <w:rPr>
                <w:rFonts w:ascii="楷体" w:hAnsi="楷体" w:eastAsia="楷体" w:cs="楷体"/>
                <w:sz w:val="28"/>
                <w:szCs w:val="28"/>
              </w:rPr>
            </w:pPr>
            <w:r>
              <w:rPr>
                <w:rFonts w:ascii="楷体" w:hAnsi="楷体" w:eastAsia="楷体" w:cs="楷体"/>
                <w:sz w:val="28"/>
                <w:szCs w:val="28"/>
              </w:rPr>
              <w:t>8746.69</w:t>
            </w:r>
          </w:p>
        </w:tc>
        <w:tc>
          <w:tcPr>
            <w:tcW w:w="1304" w:type="dxa"/>
            <w:vMerge w:val="restart"/>
          </w:tcPr>
          <w:p>
            <w:pPr>
              <w:rPr>
                <w:rFonts w:ascii="楷体" w:hAnsi="楷体" w:eastAsia="楷体" w:cs="楷体"/>
                <w:sz w:val="28"/>
                <w:szCs w:val="28"/>
              </w:rPr>
            </w:pPr>
            <w:r>
              <w:rPr>
                <w:rFonts w:hint="eastAsia" w:ascii="楷体" w:hAnsi="楷体" w:eastAsia="楷体" w:cs="楷体"/>
                <w:sz w:val="28"/>
                <w:szCs w:val="28"/>
              </w:rPr>
              <w:t>0</w:t>
            </w:r>
            <w:r>
              <w:rPr>
                <w:rFonts w:ascii="楷体" w:hAnsi="楷体" w:eastAsia="楷体" w:cs="楷体"/>
                <w:sz w:val="28"/>
                <w:szCs w:val="28"/>
              </w:rPr>
              <w:t>.413</w:t>
            </w:r>
          </w:p>
        </w:tc>
        <w:tc>
          <w:tcPr>
            <w:tcW w:w="1304" w:type="dxa"/>
            <w:vMerge w:val="restart"/>
          </w:tcPr>
          <w:p>
            <w:pPr>
              <w:rPr>
                <w:rFonts w:ascii="楷体" w:hAnsi="楷体" w:eastAsia="楷体" w:cs="楷体"/>
                <w:sz w:val="28"/>
                <w:szCs w:val="28"/>
              </w:rPr>
            </w:pPr>
            <w:r>
              <w:rPr>
                <w:rFonts w:hint="eastAsia" w:ascii="楷体" w:hAnsi="楷体" w:eastAsia="楷体" w:cs="楷体"/>
                <w:sz w:val="28"/>
                <w:szCs w:val="28"/>
              </w:rPr>
              <w:t>0</w:t>
            </w:r>
            <w:r>
              <w:rPr>
                <w:rFonts w:ascii="楷体" w:hAnsi="楷体" w:eastAsia="楷体" w:cs="楷体"/>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楷体" w:hAnsi="楷体" w:eastAsia="楷体" w:cs="楷体"/>
                <w:sz w:val="28"/>
                <w:szCs w:val="28"/>
              </w:rPr>
            </w:pPr>
            <w:r>
              <w:rPr>
                <w:rFonts w:hint="eastAsia" w:ascii="楷体" w:hAnsi="楷体" w:eastAsia="楷体" w:cs="楷体"/>
                <w:sz w:val="28"/>
                <w:szCs w:val="28"/>
              </w:rPr>
              <w:t>柴油</w:t>
            </w:r>
          </w:p>
        </w:tc>
        <w:tc>
          <w:tcPr>
            <w:tcW w:w="1519" w:type="dxa"/>
          </w:tcPr>
          <w:p>
            <w:pPr>
              <w:rPr>
                <w:rFonts w:ascii="楷体" w:hAnsi="楷体" w:eastAsia="楷体" w:cs="楷体"/>
                <w:sz w:val="28"/>
                <w:szCs w:val="28"/>
              </w:rPr>
            </w:pPr>
            <w:r>
              <w:rPr>
                <w:rFonts w:hint="eastAsia" w:ascii="楷体" w:hAnsi="楷体" w:eastAsia="楷体" w:cs="楷体"/>
                <w:sz w:val="28"/>
                <w:szCs w:val="28"/>
              </w:rPr>
              <w:t>631吨</w:t>
            </w:r>
          </w:p>
        </w:tc>
        <w:tc>
          <w:tcPr>
            <w:tcW w:w="1423" w:type="dxa"/>
          </w:tcPr>
          <w:p>
            <w:pPr>
              <w:rPr>
                <w:rFonts w:ascii="楷体" w:hAnsi="楷体" w:eastAsia="楷体" w:cs="楷体"/>
                <w:sz w:val="28"/>
                <w:szCs w:val="28"/>
              </w:rPr>
            </w:pPr>
            <w:r>
              <w:rPr>
                <w:rFonts w:hint="eastAsia" w:ascii="楷体" w:hAnsi="楷体" w:eastAsia="楷体" w:cs="楷体"/>
                <w:sz w:val="28"/>
                <w:szCs w:val="28"/>
              </w:rPr>
              <w:t>7664</w:t>
            </w:r>
          </w:p>
        </w:tc>
        <w:tc>
          <w:tcPr>
            <w:tcW w:w="1470" w:type="dxa"/>
            <w:vMerge w:val="continue"/>
          </w:tcPr>
          <w:p>
            <w:pPr>
              <w:rPr>
                <w:rFonts w:ascii="楷体" w:hAnsi="楷体" w:eastAsia="楷体" w:cs="楷体"/>
                <w:sz w:val="28"/>
                <w:szCs w:val="28"/>
              </w:rPr>
            </w:pPr>
          </w:p>
        </w:tc>
        <w:tc>
          <w:tcPr>
            <w:tcW w:w="1304" w:type="dxa"/>
            <w:vMerge w:val="continue"/>
          </w:tcPr>
          <w:p>
            <w:pPr>
              <w:rPr>
                <w:rFonts w:ascii="楷体" w:hAnsi="楷体" w:eastAsia="楷体" w:cs="楷体"/>
                <w:sz w:val="28"/>
                <w:szCs w:val="28"/>
              </w:rPr>
            </w:pPr>
          </w:p>
        </w:tc>
        <w:tc>
          <w:tcPr>
            <w:tcW w:w="1304"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楷体" w:hAnsi="楷体" w:eastAsia="楷体" w:cs="楷体"/>
                <w:sz w:val="28"/>
                <w:szCs w:val="28"/>
              </w:rPr>
            </w:pPr>
            <w:r>
              <w:rPr>
                <w:rFonts w:hint="eastAsia" w:ascii="楷体" w:hAnsi="楷体" w:eastAsia="楷体" w:cs="楷体"/>
                <w:sz w:val="28"/>
                <w:szCs w:val="28"/>
              </w:rPr>
              <w:t>天然气</w:t>
            </w:r>
          </w:p>
        </w:tc>
        <w:tc>
          <w:tcPr>
            <w:tcW w:w="1519" w:type="dxa"/>
          </w:tcPr>
          <w:p>
            <w:pPr>
              <w:rPr>
                <w:rFonts w:ascii="楷体" w:hAnsi="楷体" w:eastAsia="楷体" w:cs="楷体"/>
                <w:sz w:val="28"/>
                <w:szCs w:val="28"/>
              </w:rPr>
            </w:pPr>
            <w:r>
              <w:rPr>
                <w:rFonts w:hint="eastAsia" w:ascii="楷体" w:hAnsi="楷体" w:eastAsia="楷体" w:cs="楷体"/>
                <w:sz w:val="28"/>
                <w:szCs w:val="28"/>
              </w:rPr>
              <w:t>627158立方</w:t>
            </w:r>
          </w:p>
        </w:tc>
        <w:tc>
          <w:tcPr>
            <w:tcW w:w="1423" w:type="dxa"/>
          </w:tcPr>
          <w:p>
            <w:pPr>
              <w:rPr>
                <w:rFonts w:ascii="楷体" w:hAnsi="楷体" w:eastAsia="楷体" w:cs="楷体"/>
                <w:sz w:val="28"/>
                <w:szCs w:val="28"/>
              </w:rPr>
            </w:pPr>
            <w:r>
              <w:rPr>
                <w:rFonts w:hint="eastAsia" w:ascii="楷体" w:hAnsi="楷体" w:eastAsia="楷体" w:cs="楷体"/>
                <w:sz w:val="28"/>
                <w:szCs w:val="28"/>
              </w:rPr>
              <w:t>6951</w:t>
            </w:r>
          </w:p>
        </w:tc>
        <w:tc>
          <w:tcPr>
            <w:tcW w:w="1470" w:type="dxa"/>
            <w:vMerge w:val="continue"/>
          </w:tcPr>
          <w:p>
            <w:pPr>
              <w:rPr>
                <w:rFonts w:ascii="楷体" w:hAnsi="楷体" w:eastAsia="楷体" w:cs="楷体"/>
                <w:sz w:val="28"/>
                <w:szCs w:val="28"/>
              </w:rPr>
            </w:pPr>
          </w:p>
        </w:tc>
        <w:tc>
          <w:tcPr>
            <w:tcW w:w="1304" w:type="dxa"/>
            <w:vMerge w:val="continue"/>
          </w:tcPr>
          <w:p>
            <w:pPr>
              <w:rPr>
                <w:rFonts w:ascii="楷体" w:hAnsi="楷体" w:eastAsia="楷体" w:cs="楷体"/>
                <w:sz w:val="28"/>
                <w:szCs w:val="28"/>
              </w:rPr>
            </w:pPr>
          </w:p>
        </w:tc>
        <w:tc>
          <w:tcPr>
            <w:tcW w:w="1304"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楷体" w:hAnsi="楷体" w:eastAsia="楷体" w:cs="楷体"/>
                <w:sz w:val="28"/>
                <w:szCs w:val="28"/>
              </w:rPr>
            </w:pPr>
            <w:r>
              <w:rPr>
                <w:rFonts w:hint="eastAsia" w:ascii="楷体" w:hAnsi="楷体" w:eastAsia="楷体" w:cs="楷体"/>
                <w:sz w:val="28"/>
                <w:szCs w:val="28"/>
              </w:rPr>
              <w:t>汽油</w:t>
            </w:r>
          </w:p>
        </w:tc>
        <w:tc>
          <w:tcPr>
            <w:tcW w:w="1519" w:type="dxa"/>
          </w:tcPr>
          <w:p>
            <w:pPr>
              <w:rPr>
                <w:rFonts w:ascii="楷体" w:hAnsi="楷体" w:eastAsia="楷体" w:cs="楷体"/>
                <w:sz w:val="28"/>
                <w:szCs w:val="28"/>
              </w:rPr>
            </w:pPr>
            <w:r>
              <w:rPr>
                <w:rFonts w:hint="eastAsia" w:ascii="楷体" w:hAnsi="楷体" w:eastAsia="楷体" w:cs="楷体"/>
                <w:sz w:val="28"/>
                <w:szCs w:val="28"/>
              </w:rPr>
              <w:t>660吨</w:t>
            </w:r>
          </w:p>
        </w:tc>
        <w:tc>
          <w:tcPr>
            <w:tcW w:w="1423" w:type="dxa"/>
          </w:tcPr>
          <w:p>
            <w:pPr>
              <w:rPr>
                <w:rFonts w:ascii="楷体" w:hAnsi="楷体" w:eastAsia="楷体" w:cs="楷体"/>
                <w:sz w:val="28"/>
                <w:szCs w:val="28"/>
              </w:rPr>
            </w:pPr>
            <w:r>
              <w:rPr>
                <w:rFonts w:hint="eastAsia" w:ascii="楷体" w:hAnsi="楷体" w:eastAsia="楷体" w:cs="楷体"/>
                <w:sz w:val="28"/>
                <w:szCs w:val="28"/>
              </w:rPr>
              <w:t>8092</w:t>
            </w:r>
          </w:p>
        </w:tc>
        <w:tc>
          <w:tcPr>
            <w:tcW w:w="1470" w:type="dxa"/>
            <w:vMerge w:val="continue"/>
          </w:tcPr>
          <w:p>
            <w:pPr>
              <w:rPr>
                <w:rFonts w:ascii="楷体" w:hAnsi="楷体" w:eastAsia="楷体" w:cs="楷体"/>
                <w:sz w:val="28"/>
                <w:szCs w:val="28"/>
              </w:rPr>
            </w:pPr>
          </w:p>
        </w:tc>
        <w:tc>
          <w:tcPr>
            <w:tcW w:w="1304" w:type="dxa"/>
            <w:vMerge w:val="continue"/>
          </w:tcPr>
          <w:p>
            <w:pPr>
              <w:rPr>
                <w:rFonts w:ascii="楷体" w:hAnsi="楷体" w:eastAsia="楷体" w:cs="楷体"/>
                <w:sz w:val="28"/>
                <w:szCs w:val="28"/>
              </w:rPr>
            </w:pPr>
          </w:p>
        </w:tc>
        <w:tc>
          <w:tcPr>
            <w:tcW w:w="1304" w:type="dxa"/>
            <w:vMerge w:val="continue"/>
          </w:tcPr>
          <w:p>
            <w:pP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楷体" w:hAnsi="楷体" w:eastAsia="楷体" w:cs="楷体"/>
                <w:sz w:val="28"/>
                <w:szCs w:val="28"/>
              </w:rPr>
            </w:pPr>
            <w:r>
              <w:rPr>
                <w:rFonts w:hint="eastAsia" w:ascii="楷体" w:hAnsi="楷体" w:eastAsia="楷体" w:cs="楷体"/>
                <w:sz w:val="28"/>
                <w:szCs w:val="28"/>
              </w:rPr>
              <w:t>电力+热力</w:t>
            </w:r>
          </w:p>
        </w:tc>
        <w:tc>
          <w:tcPr>
            <w:tcW w:w="1519" w:type="dxa"/>
          </w:tcPr>
          <w:p>
            <w:pPr>
              <w:rPr>
                <w:rFonts w:ascii="楷体" w:hAnsi="楷体" w:eastAsia="楷体" w:cs="楷体"/>
                <w:sz w:val="28"/>
                <w:szCs w:val="28"/>
              </w:rPr>
            </w:pPr>
            <w:r>
              <w:rPr>
                <w:rFonts w:hint="eastAsia" w:ascii="楷体" w:hAnsi="楷体" w:eastAsia="楷体" w:cs="楷体"/>
                <w:sz w:val="28"/>
                <w:szCs w:val="28"/>
              </w:rPr>
              <w:t>44750兆千瓦时</w:t>
            </w:r>
          </w:p>
        </w:tc>
        <w:tc>
          <w:tcPr>
            <w:tcW w:w="1423" w:type="dxa"/>
          </w:tcPr>
          <w:p>
            <w:pPr>
              <w:rPr>
                <w:rFonts w:ascii="楷体" w:hAnsi="楷体" w:eastAsia="楷体" w:cs="楷体"/>
                <w:sz w:val="28"/>
                <w:szCs w:val="28"/>
              </w:rPr>
            </w:pPr>
            <w:r>
              <w:rPr>
                <w:rFonts w:hint="eastAsia" w:ascii="楷体" w:hAnsi="楷体" w:eastAsia="楷体" w:cs="楷体"/>
                <w:sz w:val="28"/>
                <w:szCs w:val="28"/>
              </w:rPr>
              <w:t>36891</w:t>
            </w:r>
          </w:p>
        </w:tc>
        <w:tc>
          <w:tcPr>
            <w:tcW w:w="1470" w:type="dxa"/>
          </w:tcPr>
          <w:p>
            <w:pPr>
              <w:rPr>
                <w:rFonts w:ascii="楷体" w:hAnsi="楷体" w:eastAsia="楷体" w:cs="楷体"/>
                <w:sz w:val="28"/>
                <w:szCs w:val="28"/>
              </w:rPr>
            </w:pPr>
            <w:r>
              <w:rPr>
                <w:rFonts w:hint="eastAsia" w:ascii="楷体" w:hAnsi="楷体" w:eastAsia="楷体" w:cs="楷体"/>
                <w:sz w:val="28"/>
                <w:szCs w:val="28"/>
              </w:rPr>
              <w:t>36891.9</w:t>
            </w:r>
          </w:p>
        </w:tc>
        <w:tc>
          <w:tcPr>
            <w:tcW w:w="1304" w:type="dxa"/>
            <w:vMerge w:val="continue"/>
          </w:tcPr>
          <w:p>
            <w:pPr>
              <w:rPr>
                <w:rFonts w:ascii="楷体" w:hAnsi="楷体" w:eastAsia="楷体" w:cs="楷体"/>
                <w:sz w:val="28"/>
                <w:szCs w:val="28"/>
              </w:rPr>
            </w:pPr>
          </w:p>
        </w:tc>
        <w:tc>
          <w:tcPr>
            <w:tcW w:w="1304" w:type="dxa"/>
            <w:vMerge w:val="continue"/>
          </w:tcPr>
          <w:p>
            <w:pPr>
              <w:rPr>
                <w:rFonts w:ascii="楷体" w:hAnsi="楷体" w:eastAsia="楷体" w:cs="楷体"/>
                <w:sz w:val="28"/>
                <w:szCs w:val="28"/>
              </w:rPr>
            </w:pPr>
          </w:p>
        </w:tc>
      </w:tr>
    </w:tbl>
    <w:p>
      <w:pPr>
        <w:rPr>
          <w:rFonts w:ascii="楷体" w:hAnsi="楷体" w:eastAsia="楷体" w:cs="楷体"/>
          <w:sz w:val="28"/>
          <w:szCs w:val="28"/>
        </w:rPr>
      </w:pPr>
      <w:r>
        <w:rPr>
          <w:rFonts w:hint="eastAsia" w:ascii="楷体" w:hAnsi="楷体" w:eastAsia="楷体" w:cs="楷体"/>
          <w:sz w:val="28"/>
          <w:szCs w:val="28"/>
        </w:rPr>
        <w:t xml:space="preserve">   为了解决电力产生的二氧化碳的排放问题，公司积极探索绿色电力的使用，除了公司有风电场开发及运行，为社会带来源源不断的绿色能源，同时工厂用电来源寻求可再生能源的替代，目前已经与远景能源达成合作，逐步提高绿色电力的使用比例。</w:t>
      </w:r>
    </w:p>
    <w:p>
      <w:pPr>
        <w:ind w:firstLine="420" w:firstLineChars="150"/>
        <w:rPr>
          <w:rFonts w:ascii="楷体" w:hAnsi="楷体" w:eastAsia="楷体" w:cs="楷体"/>
          <w:sz w:val="28"/>
          <w:szCs w:val="28"/>
        </w:rPr>
      </w:pPr>
      <w:r>
        <w:rPr>
          <w:rFonts w:hint="eastAsia" w:ascii="楷体" w:hAnsi="楷体" w:eastAsia="楷体" w:cs="楷体"/>
          <w:sz w:val="28"/>
          <w:szCs w:val="28"/>
        </w:rPr>
        <w:t>公司在太仓工厂的办公食堂区域增加了一期光伏储能微电网项目，装机容量为：</w:t>
      </w:r>
      <w:r>
        <w:rPr>
          <w:rFonts w:ascii="楷体" w:hAnsi="楷体" w:eastAsia="楷体" w:cs="楷体"/>
          <w:sz w:val="28"/>
          <w:szCs w:val="28"/>
        </w:rPr>
        <w:t>85kW</w:t>
      </w:r>
      <w:r>
        <w:rPr>
          <w:rFonts w:hint="eastAsia" w:ascii="楷体" w:hAnsi="楷体" w:eastAsia="楷体" w:cs="楷体"/>
          <w:sz w:val="28"/>
          <w:szCs w:val="28"/>
        </w:rPr>
        <w:t>光伏系统、</w:t>
      </w:r>
      <w:r>
        <w:rPr>
          <w:rFonts w:ascii="楷体" w:hAnsi="楷体" w:eastAsia="楷体" w:cs="楷体"/>
          <w:sz w:val="28"/>
          <w:szCs w:val="28"/>
        </w:rPr>
        <w:t>60kW/145kWh</w:t>
      </w:r>
      <w:r>
        <w:rPr>
          <w:rFonts w:hint="eastAsia" w:ascii="楷体" w:hAnsi="楷体" w:eastAsia="楷体" w:cs="楷体"/>
          <w:sz w:val="28"/>
          <w:szCs w:val="28"/>
        </w:rPr>
        <w:t>储能系统、</w:t>
      </w:r>
      <w:r>
        <w:rPr>
          <w:rFonts w:ascii="楷体" w:hAnsi="楷体" w:eastAsia="楷体" w:cs="楷体"/>
          <w:sz w:val="28"/>
          <w:szCs w:val="28"/>
        </w:rPr>
        <w:t>2</w:t>
      </w:r>
      <w:r>
        <w:rPr>
          <w:rFonts w:hint="eastAsia" w:ascii="楷体" w:hAnsi="楷体" w:eastAsia="楷体" w:cs="楷体"/>
          <w:sz w:val="28"/>
          <w:szCs w:val="28"/>
        </w:rPr>
        <w:t>台交流充电桩，设备费用</w:t>
      </w:r>
      <w:r>
        <w:rPr>
          <w:rFonts w:ascii="楷体" w:hAnsi="楷体" w:eastAsia="楷体" w:cs="楷体"/>
          <w:sz w:val="28"/>
          <w:szCs w:val="28"/>
        </w:rPr>
        <w:t>76</w:t>
      </w:r>
      <w:r>
        <w:rPr>
          <w:rFonts w:hint="eastAsia" w:ascii="楷体" w:hAnsi="楷体" w:eastAsia="楷体" w:cs="楷体"/>
          <w:sz w:val="28"/>
          <w:szCs w:val="28"/>
        </w:rPr>
        <w:t>万元，施工费用</w:t>
      </w:r>
      <w:r>
        <w:rPr>
          <w:rFonts w:ascii="楷体" w:hAnsi="楷体" w:eastAsia="楷体" w:cs="楷体"/>
          <w:sz w:val="28"/>
          <w:szCs w:val="28"/>
        </w:rPr>
        <w:t>4</w:t>
      </w:r>
      <w:r>
        <w:rPr>
          <w:rFonts w:hint="eastAsia" w:ascii="楷体" w:hAnsi="楷体" w:eastAsia="楷体" w:cs="楷体"/>
          <w:sz w:val="28"/>
          <w:szCs w:val="28"/>
        </w:rPr>
        <w:t>万元，设计费</w:t>
      </w:r>
      <w:r>
        <w:rPr>
          <w:rFonts w:ascii="楷体" w:hAnsi="楷体" w:eastAsia="楷体" w:cs="楷体"/>
          <w:sz w:val="28"/>
          <w:szCs w:val="28"/>
        </w:rPr>
        <w:t>3</w:t>
      </w:r>
      <w:r>
        <w:rPr>
          <w:rFonts w:hint="eastAsia" w:ascii="楷体" w:hAnsi="楷体" w:eastAsia="楷体" w:cs="楷体"/>
          <w:sz w:val="28"/>
          <w:szCs w:val="28"/>
        </w:rPr>
        <w:t>万元，项目投资估算为</w:t>
      </w:r>
      <w:r>
        <w:rPr>
          <w:rFonts w:ascii="楷体" w:hAnsi="楷体" w:eastAsia="楷体" w:cs="楷体"/>
          <w:sz w:val="28"/>
          <w:szCs w:val="28"/>
        </w:rPr>
        <w:t>83</w:t>
      </w:r>
      <w:r>
        <w:rPr>
          <w:rFonts w:hint="eastAsia" w:ascii="楷体" w:hAnsi="楷体" w:eastAsia="楷体" w:cs="楷体"/>
          <w:sz w:val="28"/>
          <w:szCs w:val="28"/>
        </w:rPr>
        <w:t>万元，目前项目已经投入使用，每年产生的绿色电力为87</w:t>
      </w:r>
      <w:r>
        <w:rPr>
          <w:rFonts w:ascii="楷体" w:hAnsi="楷体" w:eastAsia="楷体" w:cs="楷体"/>
          <w:sz w:val="28"/>
          <w:szCs w:val="28"/>
        </w:rPr>
        <w:t>MWH</w:t>
      </w:r>
      <w:r>
        <w:rPr>
          <w:rFonts w:hint="eastAsia" w:ascii="楷体" w:hAnsi="楷体" w:eastAsia="楷体" w:cs="楷体"/>
          <w:sz w:val="28"/>
          <w:szCs w:val="28"/>
        </w:rPr>
        <w:t>（8.7万度电），占太仓工厂总用电量的0.67%，每年降低24吨标煤的能耗，减少62.98吨的二氧化碳，0.53吨二氧化硫，0.18吨氮氧化合物等温室气体排放。虽然绿电比例还比较低，但天顺风能一直在朝着绿色低碳的方向前进，随着二期光伏储能微电网项目在整个太仓工厂的落地推行，绿电使用比例将有明显的上升；</w:t>
      </w:r>
    </w:p>
    <w:p>
      <w:pPr>
        <w:rPr>
          <w:rFonts w:ascii="楷体" w:hAnsi="楷体" w:eastAsia="楷体" w:cs="楷体"/>
          <w:sz w:val="28"/>
          <w:szCs w:val="28"/>
        </w:rPr>
      </w:pPr>
    </w:p>
    <w:p>
      <w:pPr>
        <w:rPr>
          <w:rFonts w:ascii="楷体" w:hAnsi="楷体" w:eastAsia="楷体" w:cs="楷体"/>
        </w:rPr>
      </w:pPr>
      <w:r>
        <w:rPr>
          <w:rFonts w:hint="eastAsia" w:ascii="楷体" w:hAnsi="楷体" w:eastAsia="楷体" w:cs="楷体"/>
        </w:rPr>
        <w:t>光伏车棚及储能微电网系统（一期）</w:t>
      </w:r>
    </w:p>
    <w:p>
      <w:pPr>
        <w:rPr>
          <w:rFonts w:ascii="楷体" w:hAnsi="楷体" w:eastAsia="楷体" w:cs="楷体"/>
          <w:sz w:val="28"/>
          <w:szCs w:val="28"/>
        </w:rPr>
      </w:pPr>
      <w:r>
        <w:rPr>
          <w:rFonts w:ascii="楷体" w:hAnsi="楷体" w:eastAsia="楷体" w:cs="楷体"/>
          <w:sz w:val="28"/>
          <w:szCs w:val="28"/>
        </w:rPr>
        <w:drawing>
          <wp:inline distT="0" distB="0" distL="0" distR="0">
            <wp:extent cx="2076450" cy="1276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l="15063" t="21615" r="17679" b="25248"/>
                    <a:stretch>
                      <a:fillRect/>
                    </a:stretch>
                  </pic:blipFill>
                  <pic:spPr>
                    <a:xfrm>
                      <a:off x="0" y="0"/>
                      <a:ext cx="2077610" cy="1276864"/>
                    </a:xfrm>
                    <a:prstGeom prst="rect">
                      <a:avLst/>
                    </a:prstGeom>
                    <a:noFill/>
                    <a:ln>
                      <a:noFill/>
                    </a:ln>
                  </pic:spPr>
                </pic:pic>
              </a:graphicData>
            </a:graphic>
          </wp:inline>
        </w:drawing>
      </w:r>
      <w:r>
        <w:rPr>
          <w:rFonts w:ascii="楷体" w:hAnsi="楷体" w:eastAsia="楷体" w:cs="楷体"/>
          <w:sz w:val="28"/>
          <w:szCs w:val="28"/>
        </w:rPr>
        <w:t xml:space="preserve"> </w:t>
      </w:r>
      <w:r>
        <w:rPr>
          <w:rFonts w:ascii="楷体" w:hAnsi="楷体" w:eastAsia="楷体" w:cs="楷体"/>
          <w:sz w:val="28"/>
          <w:szCs w:val="28"/>
        </w:rPr>
        <w:drawing>
          <wp:inline distT="0" distB="0" distL="0" distR="0">
            <wp:extent cx="704850" cy="1156335"/>
            <wp:effectExtent l="0" t="0" r="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709272" cy="1164046"/>
                    </a:xfrm>
                    <a:prstGeom prst="rect">
                      <a:avLst/>
                    </a:prstGeom>
                  </pic:spPr>
                </pic:pic>
              </a:graphicData>
            </a:graphic>
          </wp:inline>
        </w:drawing>
      </w:r>
      <w:r>
        <w:rPr>
          <w:rFonts w:hint="eastAsia" w:ascii="楷体" w:hAnsi="楷体" w:eastAsia="楷体" w:cs="楷体"/>
          <w:sz w:val="28"/>
          <w:szCs w:val="28"/>
        </w:rPr>
        <w:t xml:space="preserve">  </w:t>
      </w:r>
      <w:r>
        <w:rPr>
          <w:rFonts w:ascii="楷体" w:hAnsi="楷体" w:eastAsia="楷体" w:cs="楷体"/>
          <w:sz w:val="28"/>
          <w:szCs w:val="28"/>
        </w:rPr>
        <w:drawing>
          <wp:inline distT="0" distB="0" distL="0" distR="0">
            <wp:extent cx="2219325" cy="1212850"/>
            <wp:effectExtent l="0" t="0" r="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2223592" cy="1215342"/>
                    </a:xfrm>
                    <a:prstGeom prst="rect">
                      <a:avLst/>
                    </a:prstGeom>
                  </pic:spPr>
                </pic:pic>
              </a:graphicData>
            </a:graphic>
          </wp:inline>
        </w:drawing>
      </w:r>
    </w:p>
    <w:p>
      <w:pPr>
        <w:rPr>
          <w:rFonts w:ascii="楷体" w:hAnsi="楷体" w:eastAsia="楷体" w:cs="楷体"/>
          <w:sz w:val="28"/>
          <w:szCs w:val="28"/>
        </w:rPr>
      </w:pPr>
    </w:p>
    <w:p>
      <w:pPr>
        <w:spacing w:before="91"/>
        <w:ind w:firstLine="595"/>
        <w:rPr>
          <w:rFonts w:ascii="楷体" w:hAnsi="楷体" w:eastAsia="楷体" w:cs="楷体"/>
          <w:spacing w:val="-1"/>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四</w:t>
      </w:r>
      <w:r>
        <w:rPr>
          <w:rFonts w:ascii="楷体" w:hAnsi="楷体" w:eastAsia="楷体" w:cs="楷体"/>
          <w:spacing w:val="-1"/>
          <w:sz w:val="28"/>
          <w:szCs w:val="28"/>
          <w14:textOutline w14:w="5003" w14:cap="flat" w14:cmpd="sng" w14:algn="ctr">
            <w14:solidFill>
              <w14:srgbClr w14:val="000000"/>
            </w14:solidFill>
            <w14:prstDash w14:val="solid"/>
            <w14:miter w14:val="0"/>
          </w14:textOutline>
        </w:rPr>
        <w:t xml:space="preserve"> </w:t>
      </w: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绿色供应链信息</w:t>
      </w:r>
    </w:p>
    <w:p>
      <w:pPr>
        <w:rPr>
          <w:rFonts w:ascii="楷体" w:hAnsi="楷体" w:eastAsia="楷体" w:cs="楷体"/>
          <w:b/>
          <w:sz w:val="28"/>
          <w:szCs w:val="28"/>
        </w:rPr>
      </w:pPr>
    </w:p>
    <w:p>
      <w:pPr>
        <w:rPr>
          <w:rFonts w:ascii="楷体" w:hAnsi="楷体" w:eastAsia="楷体" w:cs="楷体"/>
          <w:sz w:val="28"/>
          <w:szCs w:val="28"/>
        </w:rPr>
      </w:pPr>
      <w:r>
        <w:rPr>
          <w:rFonts w:hint="eastAsia" w:ascii="楷体" w:hAnsi="楷体" w:eastAsia="楷体" w:cs="楷体"/>
          <w:sz w:val="28"/>
          <w:szCs w:val="28"/>
        </w:rPr>
        <w:t xml:space="preserve">   公司坚持绿色的发展理念，从设计-采购-生产-交付-售后全流程的绿色发展的规划，保证对环境的影响降低到最低。依据GB/T</w:t>
      </w:r>
      <w:r>
        <w:rPr>
          <w:rFonts w:ascii="楷体" w:hAnsi="楷体" w:eastAsia="楷体" w:cs="楷体"/>
          <w:sz w:val="28"/>
          <w:szCs w:val="28"/>
        </w:rPr>
        <w:t>《</w:t>
      </w:r>
      <w:r>
        <w:rPr>
          <w:rFonts w:hint="eastAsia" w:ascii="楷体" w:hAnsi="楷体" w:eastAsia="楷体" w:cs="楷体"/>
          <w:sz w:val="28"/>
          <w:szCs w:val="28"/>
        </w:rPr>
        <w:t>绿色制造 制造企业绿色供应链管理导则</w:t>
      </w:r>
      <w:r>
        <w:rPr>
          <w:rFonts w:ascii="楷体" w:hAnsi="楷体" w:eastAsia="楷体" w:cs="楷体"/>
          <w:sz w:val="28"/>
          <w:szCs w:val="28"/>
        </w:rPr>
        <w:t>》</w:t>
      </w:r>
      <w:r>
        <w:rPr>
          <w:rFonts w:hint="eastAsia" w:ascii="楷体" w:hAnsi="楷体" w:eastAsia="楷体" w:cs="楷体"/>
          <w:sz w:val="28"/>
          <w:szCs w:val="28"/>
        </w:rPr>
        <w:t>开展绿色供应链管理，将重要供应商纳入到公司的绿色供应链，对目前主要的供应商进行了绿色供应商评价，目前已有5家满足绿色供应链要求，下一阶段持续推进将纳入更多供应商进来作为公司中长期发展规划，明确绿色供应商评价在2030年前全覆盖；对于资源回收利用，公司的产品主要为钢结构件，99%的可回收利用，不会对环境产生影响，对于包装物公司向客户倡导可回收材料，在项目工地可以直接由第三方回收。</w:t>
      </w:r>
    </w:p>
    <w:p>
      <w:pPr>
        <w:rPr>
          <w:rFonts w:ascii="楷体" w:hAnsi="楷体" w:eastAsia="楷体" w:cs="楷体"/>
          <w:sz w:val="28"/>
          <w:szCs w:val="28"/>
        </w:rPr>
      </w:pPr>
    </w:p>
    <w:p>
      <w:pPr>
        <w:spacing w:before="143"/>
        <w:ind w:firstLine="910"/>
        <w:rPr>
          <w:rFonts w:ascii="楷体" w:hAnsi="楷体" w:eastAsia="楷体" w:cs="楷体"/>
          <w:sz w:val="44"/>
          <w:szCs w:val="44"/>
        </w:rPr>
      </w:pPr>
      <w:bookmarkStart w:id="0" w:name="_bookmark1"/>
      <w:bookmarkEnd w:id="0"/>
      <w:r>
        <w:rPr>
          <w:rFonts w:hint="eastAsia" w:ascii="楷体" w:hAnsi="楷体" w:eastAsia="楷体" w:cs="楷体"/>
          <w:sz w:val="44"/>
          <w:szCs w:val="44"/>
          <w14:textOutline w14:w="8064" w14:cap="flat" w14:cmpd="sng" w14:algn="ctr">
            <w14:solidFill>
              <w14:srgbClr w14:val="000000"/>
            </w14:solidFill>
            <w14:prstDash w14:val="solid"/>
            <w14:miter w14:val="0"/>
          </w14:textOutline>
        </w:rPr>
        <w:t>第六章</w:t>
      </w:r>
      <w:r>
        <w:rPr>
          <w:rFonts w:hint="eastAsia" w:ascii="楷体" w:hAnsi="楷体" w:eastAsia="楷体" w:cs="楷体"/>
          <w:spacing w:val="161"/>
          <w:sz w:val="44"/>
          <w:szCs w:val="44"/>
        </w:rPr>
        <w:t xml:space="preserve"> </w:t>
      </w:r>
      <w:r>
        <w:rPr>
          <w:rFonts w:hint="eastAsia" w:ascii="楷体" w:hAnsi="楷体" w:eastAsia="楷体" w:cs="楷体"/>
          <w:sz w:val="44"/>
          <w:szCs w:val="44"/>
          <w14:textOutline w14:w="8064" w14:cap="flat" w14:cmpd="sng" w14:algn="ctr">
            <w14:solidFill>
              <w14:srgbClr w14:val="000000"/>
            </w14:solidFill>
            <w14:prstDash w14:val="solid"/>
            <w14:miter w14:val="0"/>
          </w14:textOutline>
        </w:rPr>
        <w:t>公共关系和社会公益事业</w:t>
      </w:r>
    </w:p>
    <w:p>
      <w:pPr>
        <w:rPr>
          <w:rFonts w:ascii="楷体" w:hAnsi="楷体" w:eastAsia="楷体" w:cs="楷体"/>
        </w:rPr>
      </w:pPr>
    </w:p>
    <w:p>
      <w:pPr>
        <w:rPr>
          <w:rFonts w:ascii="楷体" w:hAnsi="楷体" w:eastAsia="楷体" w:cs="楷体"/>
        </w:rPr>
      </w:pPr>
    </w:p>
    <w:p>
      <w:pPr>
        <w:spacing w:before="91"/>
        <w:ind w:left="49" w:firstLine="550"/>
        <w:rPr>
          <w:rFonts w:ascii="楷体" w:hAnsi="楷体" w:eastAsia="楷体" w:cs="楷体"/>
          <w:spacing w:val="-9"/>
          <w:sz w:val="28"/>
          <w:szCs w:val="28"/>
        </w:rPr>
      </w:pPr>
      <w:r>
        <w:rPr>
          <w:rFonts w:hint="eastAsia" w:ascii="楷体" w:hAnsi="楷体" w:eastAsia="楷体" w:cs="楷体"/>
          <w:spacing w:val="-9"/>
          <w:sz w:val="28"/>
          <w:szCs w:val="28"/>
        </w:rPr>
        <w:t>公司发展源于社会，回报社会是公司应尽的责任。作为社会的一员，在兼顾公司、股东及其他相关方利益的情况下，公司积极参与社会公益事业，以自身发展影响和带动地方经济的振兴，将追求利润和承担社会责任有机的融合在一起。 截止2021年12月份，公司所做社会公益事项如下：</w:t>
      </w:r>
    </w:p>
    <w:p>
      <w:pPr>
        <w:spacing w:before="91"/>
        <w:ind w:left="49" w:firstLine="550"/>
        <w:rPr>
          <w:rFonts w:ascii="楷体" w:hAnsi="楷体" w:eastAsia="楷体" w:cs="楷体"/>
          <w:spacing w:val="-9"/>
          <w:sz w:val="28"/>
          <w:szCs w:val="28"/>
        </w:rPr>
      </w:pPr>
      <w:r>
        <w:rPr>
          <w:rFonts w:ascii="楷体" w:hAnsi="楷体" w:eastAsia="楷体" w:cs="楷体"/>
          <w:spacing w:val="-9"/>
          <w:sz w:val="28"/>
          <w:szCs w:val="28"/>
        </w:rPr>
        <w:t>2021</w:t>
      </w:r>
      <w:r>
        <w:rPr>
          <w:rFonts w:hint="eastAsia" w:ascii="楷体" w:hAnsi="楷体" w:eastAsia="楷体" w:cs="楷体"/>
          <w:spacing w:val="-9"/>
          <w:sz w:val="28"/>
          <w:szCs w:val="28"/>
        </w:rPr>
        <w:t>年</w:t>
      </w:r>
      <w:r>
        <w:rPr>
          <w:rFonts w:ascii="楷体" w:hAnsi="楷体" w:eastAsia="楷体" w:cs="楷体"/>
          <w:spacing w:val="-9"/>
          <w:sz w:val="28"/>
          <w:szCs w:val="28"/>
        </w:rPr>
        <w:t>1</w:t>
      </w:r>
      <w:r>
        <w:rPr>
          <w:rFonts w:hint="eastAsia" w:ascii="楷体" w:hAnsi="楷体" w:eastAsia="楷体" w:cs="楷体"/>
          <w:spacing w:val="-9"/>
          <w:sz w:val="28"/>
          <w:szCs w:val="28"/>
        </w:rPr>
        <w:t>月</w:t>
      </w:r>
      <w:r>
        <w:rPr>
          <w:rFonts w:ascii="楷体" w:hAnsi="楷体" w:eastAsia="楷体" w:cs="楷体"/>
          <w:spacing w:val="-9"/>
          <w:sz w:val="28"/>
          <w:szCs w:val="28"/>
        </w:rPr>
        <w:t>28</w:t>
      </w:r>
      <w:r>
        <w:rPr>
          <w:rFonts w:hint="eastAsia" w:ascii="楷体" w:hAnsi="楷体" w:eastAsia="楷体" w:cs="楷体"/>
          <w:spacing w:val="-9"/>
          <w:sz w:val="28"/>
          <w:szCs w:val="28"/>
        </w:rPr>
        <w:t>日，公司全资子公司苏州天顺复合材料科技有限公司向常熟市慈善总会（基金会）捐赠</w:t>
      </w:r>
      <w:r>
        <w:rPr>
          <w:rFonts w:ascii="楷体" w:hAnsi="楷体" w:eastAsia="楷体" w:cs="楷体"/>
          <w:spacing w:val="-9"/>
          <w:sz w:val="28"/>
          <w:szCs w:val="28"/>
        </w:rPr>
        <w:t>5</w:t>
      </w:r>
      <w:r>
        <w:rPr>
          <w:rFonts w:hint="eastAsia" w:ascii="楷体" w:hAnsi="楷体" w:eastAsia="楷体" w:cs="楷体"/>
          <w:spacing w:val="-9"/>
          <w:sz w:val="28"/>
          <w:szCs w:val="28"/>
        </w:rPr>
        <w:t xml:space="preserve">万元，定向帮助梅李低保家庭修缮房屋，改善居住环境； </w:t>
      </w:r>
    </w:p>
    <w:p>
      <w:pPr>
        <w:spacing w:before="91"/>
        <w:ind w:left="49" w:firstLine="550"/>
        <w:rPr>
          <w:rFonts w:ascii="楷体" w:hAnsi="楷体" w:eastAsia="楷体" w:cs="楷体"/>
          <w:spacing w:val="-9"/>
          <w:sz w:val="28"/>
          <w:szCs w:val="28"/>
        </w:rPr>
      </w:pPr>
      <w:r>
        <w:rPr>
          <w:rFonts w:ascii="楷体" w:hAnsi="楷体" w:eastAsia="楷体" w:cs="楷体"/>
          <w:spacing w:val="-9"/>
          <w:sz w:val="28"/>
          <w:szCs w:val="28"/>
        </w:rPr>
        <w:t>2021</w:t>
      </w:r>
      <w:r>
        <w:rPr>
          <w:rFonts w:hint="eastAsia" w:ascii="楷体" w:hAnsi="楷体" w:eastAsia="楷体" w:cs="楷体"/>
          <w:spacing w:val="-9"/>
          <w:sz w:val="28"/>
          <w:szCs w:val="28"/>
        </w:rPr>
        <w:t>年</w:t>
      </w:r>
      <w:r>
        <w:rPr>
          <w:rFonts w:ascii="楷体" w:hAnsi="楷体" w:eastAsia="楷体" w:cs="楷体"/>
          <w:spacing w:val="-9"/>
          <w:sz w:val="28"/>
          <w:szCs w:val="28"/>
        </w:rPr>
        <w:t>7</w:t>
      </w:r>
      <w:r>
        <w:rPr>
          <w:rFonts w:hint="eastAsia" w:ascii="楷体" w:hAnsi="楷体" w:eastAsia="楷体" w:cs="楷体"/>
          <w:spacing w:val="-9"/>
          <w:sz w:val="28"/>
          <w:szCs w:val="28"/>
        </w:rPr>
        <w:t>月</w:t>
      </w:r>
      <w:r>
        <w:rPr>
          <w:rFonts w:ascii="楷体" w:hAnsi="楷体" w:eastAsia="楷体" w:cs="楷体"/>
          <w:spacing w:val="-9"/>
          <w:sz w:val="28"/>
          <w:szCs w:val="28"/>
        </w:rPr>
        <w:t>2</w:t>
      </w:r>
      <w:r>
        <w:rPr>
          <w:rFonts w:hint="eastAsia" w:ascii="楷体" w:hAnsi="楷体" w:eastAsia="楷体" w:cs="楷体"/>
          <w:spacing w:val="-9"/>
          <w:sz w:val="28"/>
          <w:szCs w:val="28"/>
        </w:rPr>
        <w:t>日，公司全资子公司菏泽天顺新能源设备有限公司向鄄城县慈善总会捐赠</w:t>
      </w:r>
      <w:r>
        <w:rPr>
          <w:rFonts w:ascii="楷体" w:hAnsi="楷体" w:eastAsia="楷体" w:cs="楷体"/>
          <w:spacing w:val="-9"/>
          <w:sz w:val="28"/>
          <w:szCs w:val="28"/>
        </w:rPr>
        <w:t>2</w:t>
      </w:r>
      <w:r>
        <w:rPr>
          <w:rFonts w:hint="eastAsia" w:ascii="楷体" w:hAnsi="楷体" w:eastAsia="楷体" w:cs="楷体"/>
          <w:spacing w:val="-9"/>
          <w:sz w:val="28"/>
          <w:szCs w:val="28"/>
        </w:rPr>
        <w:t xml:space="preserve">万元，积极开展助老、助残、助学、助医等救助活动，帮助困难群众排忧解难； </w:t>
      </w:r>
    </w:p>
    <w:p>
      <w:pPr>
        <w:spacing w:before="91"/>
        <w:ind w:left="49" w:firstLine="550"/>
        <w:rPr>
          <w:rFonts w:ascii="楷体" w:hAnsi="楷体" w:eastAsia="楷体" w:cs="楷体"/>
          <w:spacing w:val="-9"/>
          <w:sz w:val="28"/>
          <w:szCs w:val="28"/>
        </w:rPr>
      </w:pPr>
      <w:r>
        <w:rPr>
          <w:rFonts w:ascii="楷体" w:hAnsi="楷体" w:eastAsia="楷体" w:cs="楷体"/>
          <w:spacing w:val="-9"/>
          <w:sz w:val="28"/>
          <w:szCs w:val="28"/>
        </w:rPr>
        <w:t>2021</w:t>
      </w:r>
      <w:r>
        <w:rPr>
          <w:rFonts w:hint="eastAsia" w:ascii="楷体" w:hAnsi="楷体" w:eastAsia="楷体" w:cs="楷体"/>
          <w:spacing w:val="-9"/>
          <w:sz w:val="28"/>
          <w:szCs w:val="28"/>
        </w:rPr>
        <w:t>年</w:t>
      </w:r>
      <w:r>
        <w:rPr>
          <w:rFonts w:ascii="楷体" w:hAnsi="楷体" w:eastAsia="楷体" w:cs="楷体"/>
          <w:spacing w:val="-9"/>
          <w:sz w:val="28"/>
          <w:szCs w:val="28"/>
        </w:rPr>
        <w:t>7</w:t>
      </w:r>
      <w:r>
        <w:rPr>
          <w:rFonts w:hint="eastAsia" w:ascii="楷体" w:hAnsi="楷体" w:eastAsia="楷体" w:cs="楷体"/>
          <w:spacing w:val="-9"/>
          <w:sz w:val="28"/>
          <w:szCs w:val="28"/>
        </w:rPr>
        <w:t>月</w:t>
      </w:r>
      <w:r>
        <w:rPr>
          <w:rFonts w:ascii="楷体" w:hAnsi="楷体" w:eastAsia="楷体" w:cs="楷体"/>
          <w:spacing w:val="-9"/>
          <w:sz w:val="28"/>
          <w:szCs w:val="28"/>
        </w:rPr>
        <w:t>15</w:t>
      </w:r>
      <w:r>
        <w:rPr>
          <w:rFonts w:hint="eastAsia" w:ascii="楷体" w:hAnsi="楷体" w:eastAsia="楷体" w:cs="楷体"/>
          <w:spacing w:val="-9"/>
          <w:sz w:val="28"/>
          <w:szCs w:val="28"/>
        </w:rPr>
        <w:t>日，公司全资子公司苏州天利投资有限公司向上海音乐学院教育发展基金会捐赠</w:t>
      </w:r>
      <w:r>
        <w:rPr>
          <w:rFonts w:ascii="楷体" w:hAnsi="楷体" w:eastAsia="楷体" w:cs="楷体"/>
          <w:spacing w:val="-9"/>
          <w:sz w:val="28"/>
          <w:szCs w:val="28"/>
        </w:rPr>
        <w:t>90</w:t>
      </w:r>
      <w:r>
        <w:rPr>
          <w:rFonts w:hint="eastAsia" w:ascii="楷体" w:hAnsi="楷体" w:eastAsia="楷体" w:cs="楷体"/>
          <w:spacing w:val="-9"/>
          <w:sz w:val="28"/>
          <w:szCs w:val="28"/>
        </w:rPr>
        <w:t xml:space="preserve">万元，支持上海音乐学院建设，促进教育事业发展，助力提高全社会音乐艺术水平，提高音乐艺术教育质量和培养更多优秀音乐人才； </w:t>
      </w:r>
    </w:p>
    <w:p>
      <w:pPr>
        <w:spacing w:before="91"/>
        <w:ind w:left="49" w:firstLine="550"/>
        <w:rPr>
          <w:rFonts w:ascii="楷体" w:hAnsi="楷体" w:eastAsia="楷体" w:cs="楷体"/>
          <w:spacing w:val="-9"/>
          <w:sz w:val="28"/>
          <w:szCs w:val="28"/>
        </w:rPr>
      </w:pPr>
      <w:r>
        <w:rPr>
          <w:rFonts w:ascii="楷体" w:hAnsi="楷体" w:eastAsia="楷体" w:cs="楷体"/>
          <w:spacing w:val="-9"/>
          <w:sz w:val="28"/>
          <w:szCs w:val="28"/>
        </w:rPr>
        <w:t>2021</w:t>
      </w:r>
      <w:r>
        <w:rPr>
          <w:rFonts w:hint="eastAsia" w:ascii="楷体" w:hAnsi="楷体" w:eastAsia="楷体" w:cs="楷体"/>
          <w:spacing w:val="-9"/>
          <w:sz w:val="28"/>
          <w:szCs w:val="28"/>
        </w:rPr>
        <w:t>年</w:t>
      </w:r>
      <w:r>
        <w:rPr>
          <w:rFonts w:ascii="楷体" w:hAnsi="楷体" w:eastAsia="楷体" w:cs="楷体"/>
          <w:spacing w:val="-9"/>
          <w:sz w:val="28"/>
          <w:szCs w:val="28"/>
        </w:rPr>
        <w:t>7</w:t>
      </w:r>
      <w:r>
        <w:rPr>
          <w:rFonts w:hint="eastAsia" w:ascii="楷体" w:hAnsi="楷体" w:eastAsia="楷体" w:cs="楷体"/>
          <w:spacing w:val="-9"/>
          <w:sz w:val="28"/>
          <w:szCs w:val="28"/>
        </w:rPr>
        <w:t>月</w:t>
      </w:r>
      <w:r>
        <w:rPr>
          <w:rFonts w:ascii="楷体" w:hAnsi="楷体" w:eastAsia="楷体" w:cs="楷体"/>
          <w:spacing w:val="-9"/>
          <w:sz w:val="28"/>
          <w:szCs w:val="28"/>
        </w:rPr>
        <w:t>21</w:t>
      </w:r>
      <w:r>
        <w:rPr>
          <w:rFonts w:hint="eastAsia" w:ascii="楷体" w:hAnsi="楷体" w:eastAsia="楷体" w:cs="楷体"/>
          <w:spacing w:val="-9"/>
          <w:sz w:val="28"/>
          <w:szCs w:val="28"/>
        </w:rPr>
        <w:t>日，公司向濮阳市红十字会捐赠防汛救灾款</w:t>
      </w:r>
      <w:r>
        <w:rPr>
          <w:rFonts w:ascii="楷体" w:hAnsi="楷体" w:eastAsia="楷体" w:cs="楷体"/>
          <w:spacing w:val="-9"/>
          <w:sz w:val="28"/>
          <w:szCs w:val="28"/>
        </w:rPr>
        <w:t>20</w:t>
      </w:r>
      <w:r>
        <w:rPr>
          <w:rFonts w:hint="eastAsia" w:ascii="楷体" w:hAnsi="楷体" w:eastAsia="楷体" w:cs="楷体"/>
          <w:spacing w:val="-9"/>
          <w:sz w:val="28"/>
          <w:szCs w:val="28"/>
        </w:rPr>
        <w:t xml:space="preserve">万元，支持郑州抗洪救灾，帮助受灾群众度过难关。 </w:t>
      </w:r>
    </w:p>
    <w:p>
      <w:pPr>
        <w:rPr>
          <w:rFonts w:ascii="楷体" w:hAnsi="楷体" w:eastAsia="楷体" w:cs="楷体"/>
        </w:rPr>
        <w:sectPr>
          <w:footerReference r:id="rId7" w:type="default"/>
          <w:pgSz w:w="11905" w:h="16836"/>
          <w:pgMar w:top="1431" w:right="1715" w:bottom="1385" w:left="1785" w:header="0" w:footer="1260" w:gutter="0"/>
          <w:cols w:space="720" w:num="1"/>
        </w:sectPr>
      </w:pPr>
    </w:p>
    <w:p>
      <w:pPr>
        <w:rPr>
          <w:rFonts w:ascii="楷体" w:hAnsi="楷体" w:eastAsia="楷体" w:cs="楷体"/>
        </w:rPr>
      </w:pPr>
    </w:p>
    <w:p>
      <w:pPr>
        <w:spacing w:before="143"/>
        <w:ind w:firstLine="3540"/>
        <w:rPr>
          <w:rFonts w:ascii="楷体" w:hAnsi="楷体" w:eastAsia="楷体" w:cs="楷体"/>
          <w:sz w:val="44"/>
          <w:szCs w:val="44"/>
        </w:rPr>
      </w:pPr>
      <w:r>
        <w:rPr>
          <w:rFonts w:hint="eastAsia" w:ascii="楷体" w:hAnsi="楷体" w:eastAsia="楷体" w:cs="楷体"/>
          <w:spacing w:val="-4"/>
          <w:sz w:val="44"/>
          <w:szCs w:val="44"/>
          <w14:textOutline w14:w="8064" w14:cap="flat" w14:cmpd="sng" w14:algn="ctr">
            <w14:solidFill>
              <w14:srgbClr w14:val="000000"/>
            </w14:solidFill>
            <w14:prstDash w14:val="solid"/>
            <w14:miter w14:val="0"/>
          </w14:textOutline>
        </w:rPr>
        <w:t>结束语</w:t>
      </w:r>
    </w:p>
    <w:p>
      <w:pPr>
        <w:rPr>
          <w:rFonts w:ascii="楷体" w:hAnsi="楷体" w:eastAsia="楷体" w:cs="楷体"/>
        </w:rPr>
      </w:pPr>
    </w:p>
    <w:p>
      <w:pPr>
        <w:spacing w:before="91"/>
        <w:ind w:firstLine="595"/>
        <w:rPr>
          <w:rFonts w:ascii="楷体" w:hAnsi="楷体" w:eastAsia="楷体" w:cs="楷体"/>
          <w:spacing w:val="-1"/>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机遇带来新发展，大格局洞见大目标。</w:t>
      </w:r>
    </w:p>
    <w:p>
      <w:pPr>
        <w:spacing w:before="91"/>
        <w:ind w:left="49" w:firstLine="550"/>
        <w:rPr>
          <w:rFonts w:ascii="楷体" w:hAnsi="楷体" w:eastAsia="楷体" w:cs="楷体"/>
          <w:spacing w:val="-9"/>
          <w:sz w:val="28"/>
          <w:szCs w:val="28"/>
        </w:rPr>
      </w:pPr>
      <w:r>
        <w:rPr>
          <w:rFonts w:ascii="楷体" w:hAnsi="楷体" w:eastAsia="楷体" w:cs="楷体"/>
          <w:spacing w:val="-9"/>
          <w:sz w:val="28"/>
          <w:szCs w:val="28"/>
        </w:rPr>
        <w:t>2021年经济发展进入“十四五”新周期，能源体系的重构为新能源发展提供了新机遇。也是在2021年，国家密集发布多项“双碳目标”保障政策，不仅向全世界彰显中国应对气候变化的决心，更是为新能源行业的未来发展打开了大门。作为行业中的领先企业，集团深知自己的使命，未来五年里将以现有装备制造业务为基础，把握零碳实业发展的历史机遇，紧紧围绕“新动能、新引擎、新锚点、新体系、新模式”的战略方针，实现营业收入、净利润的高速增长。</w:t>
      </w:r>
    </w:p>
    <w:p>
      <w:pPr>
        <w:spacing w:before="91"/>
        <w:ind w:firstLine="595"/>
        <w:rPr>
          <w:rFonts w:ascii="楷体" w:hAnsi="楷体" w:eastAsia="楷体" w:cs="楷体"/>
          <w:spacing w:val="-1"/>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 </w:t>
      </w:r>
    </w:p>
    <w:p>
      <w:pPr>
        <w:spacing w:before="91"/>
        <w:ind w:firstLine="595"/>
        <w:rPr>
          <w:rFonts w:ascii="楷体" w:hAnsi="楷体" w:eastAsia="楷体" w:cs="楷体"/>
          <w:spacing w:val="-1"/>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漫漫长路，唯奋斗耳。</w:t>
      </w:r>
    </w:p>
    <w:p>
      <w:pPr>
        <w:spacing w:before="91"/>
        <w:ind w:left="49" w:firstLine="550"/>
        <w:rPr>
          <w:rFonts w:ascii="楷体" w:hAnsi="楷体" w:eastAsia="楷体" w:cs="楷体"/>
          <w:spacing w:val="-9"/>
          <w:sz w:val="28"/>
          <w:szCs w:val="28"/>
        </w:rPr>
      </w:pPr>
      <w:r>
        <w:rPr>
          <w:rFonts w:ascii="楷体" w:hAnsi="楷体" w:eastAsia="楷体" w:cs="楷体"/>
          <w:spacing w:val="-9"/>
          <w:sz w:val="28"/>
          <w:szCs w:val="28"/>
        </w:rPr>
        <w:t>2021年疫情的反复依旧制约世界范围的经济复苏，风电行业更是面对大宗商品、行业调整等多重的挑战和考验。同时，行业快速的技术进步、平价时代带来的成本持续下降，也给业内企业的经营发展带来了新的挑战。面对挑战及考验，我们天顺人上下一心，积极应对，坚定向前，“伟大梦想是拼出来、干出来的”。十四五开局之年，集团不仅在装备制造领域力争订单、扩大市场占有率，同时谋局布点、为未来发展蓄力，更是积极参与资源开发，为后续发展赢得先机。</w:t>
      </w:r>
    </w:p>
    <w:p>
      <w:pPr>
        <w:pStyle w:val="5"/>
        <w:spacing w:beforeAutospacing="0" w:afterAutospacing="0"/>
      </w:pPr>
    </w:p>
    <w:p>
      <w:pPr>
        <w:spacing w:before="91"/>
        <w:ind w:firstLine="595"/>
        <w:rPr>
          <w:rFonts w:ascii="楷体" w:hAnsi="楷体" w:eastAsia="楷体" w:cs="楷体"/>
          <w:spacing w:val="-1"/>
          <w:sz w:val="28"/>
          <w:szCs w:val="28"/>
          <w14:textOutline w14:w="5003" w14:cap="flat" w14:cmpd="sng" w14:algn="ctr">
            <w14:solidFill>
              <w14:srgbClr w14:val="000000"/>
            </w14:solidFill>
            <w14:prstDash w14:val="solid"/>
            <w14:miter w14:val="0"/>
          </w14:textOutline>
        </w:rPr>
      </w:pPr>
      <w:r>
        <w:rPr>
          <w:rFonts w:hint="eastAsia" w:ascii="楷体" w:hAnsi="楷体" w:eastAsia="楷体" w:cs="楷体"/>
          <w:spacing w:val="-1"/>
          <w:sz w:val="28"/>
          <w:szCs w:val="28"/>
          <w14:textOutline w14:w="5003" w14:cap="flat" w14:cmpd="sng" w14:algn="ctr">
            <w14:solidFill>
              <w14:srgbClr w14:val="000000"/>
            </w14:solidFill>
            <w14:prstDash w14:val="solid"/>
            <w14:miter w14:val="0"/>
          </w14:textOutline>
        </w:rPr>
        <w:t>志者事成，苦心不负。</w:t>
      </w:r>
    </w:p>
    <w:p>
      <w:pPr>
        <w:spacing w:before="91"/>
        <w:ind w:left="49" w:firstLine="550"/>
        <w:rPr>
          <w:rFonts w:ascii="楷体" w:hAnsi="楷体" w:eastAsia="楷体" w:cs="楷体"/>
          <w:spacing w:val="-9"/>
          <w:sz w:val="28"/>
          <w:szCs w:val="28"/>
        </w:rPr>
      </w:pPr>
      <w:r>
        <w:rPr>
          <w:rFonts w:ascii="楷体" w:hAnsi="楷体" w:eastAsia="楷体" w:cs="楷体"/>
          <w:spacing w:val="-9"/>
          <w:sz w:val="28"/>
          <w:szCs w:val="28"/>
        </w:rPr>
        <w:t>展望2022年，即使前方的道路上充满着未知，我们也要拥有不惧困难、俯视一切的气概。让我们共同以奋斗者的姿态并肩努力，不断进取，携手跨越，为更美好的未来打下良好的基础！</w:t>
      </w:r>
    </w:p>
    <w:p>
      <w:pPr>
        <w:pStyle w:val="5"/>
        <w:spacing w:beforeAutospacing="0" w:afterAutospacing="0"/>
      </w:pPr>
    </w:p>
    <w:p>
      <w:pPr>
        <w:spacing w:before="91"/>
        <w:ind w:left="26" w:right="14" w:firstLine="532"/>
        <w:rPr>
          <w:rFonts w:ascii="Microsoft YaHei UI" w:hAnsi="Microsoft YaHei UI" w:eastAsia="Microsoft YaHei UI" w:cs="Microsoft YaHei UI"/>
          <w:color w:val="FFFFFF"/>
          <w:spacing w:val="5"/>
          <w:sz w:val="16"/>
          <w:szCs w:val="16"/>
          <w:shd w:val="clear" w:color="auto" w:fill="F96E57"/>
        </w:rPr>
      </w:pPr>
    </w:p>
    <w:sectPr>
      <w:footerReference r:id="rId8" w:type="default"/>
      <w:pgSz w:w="11905" w:h="16836"/>
      <w:pgMar w:top="1431" w:right="1785" w:bottom="1385" w:left="1785" w:header="0" w:footer="12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14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13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3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9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09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9CEF1"/>
    <w:multiLevelType w:val="singleLevel"/>
    <w:tmpl w:val="D9F9CEF1"/>
    <w:lvl w:ilvl="0" w:tentative="0">
      <w:start w:val="1"/>
      <w:numFmt w:val="chineseCounting"/>
      <w:suff w:val="space"/>
      <w:lvlText w:val="第%1章"/>
      <w:lvlJc w:val="left"/>
      <w:rPr>
        <w:rFonts w:hint="eastAsia"/>
      </w:rPr>
    </w:lvl>
  </w:abstractNum>
  <w:abstractNum w:abstractNumId="1">
    <w:nsid w:val="1BF7ACAE"/>
    <w:multiLevelType w:val="singleLevel"/>
    <w:tmpl w:val="1BF7ACAE"/>
    <w:lvl w:ilvl="0" w:tentative="0">
      <w:start w:val="3"/>
      <w:numFmt w:val="decimal"/>
      <w:suff w:val="nothing"/>
      <w:lvlText w:val="%1、"/>
      <w:lvlJc w:val="left"/>
    </w:lvl>
  </w:abstractNum>
  <w:abstractNum w:abstractNumId="2">
    <w:nsid w:val="7080BC2D"/>
    <w:multiLevelType w:val="singleLevel"/>
    <w:tmpl w:val="7080BC2D"/>
    <w:lvl w:ilvl="0" w:tentative="0">
      <w:start w:val="4"/>
      <w:numFmt w:val="chineseCounting"/>
      <w:suff w:val="space"/>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1"/>
  <w:bordersDoNotSurroundFooter w:val="1"/>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ZjcyMGQxNTQ4OGVhZmEyODI4M2VkOGViNmVkODkifQ=="/>
  </w:docVars>
  <w:rsids>
    <w:rsidRoot w:val="007B6B04"/>
    <w:rsid w:val="00076FF0"/>
    <w:rsid w:val="000B0D7D"/>
    <w:rsid w:val="00101B22"/>
    <w:rsid w:val="00166109"/>
    <w:rsid w:val="00210ED2"/>
    <w:rsid w:val="00221871"/>
    <w:rsid w:val="00225B6B"/>
    <w:rsid w:val="002768A8"/>
    <w:rsid w:val="00286830"/>
    <w:rsid w:val="003D2A49"/>
    <w:rsid w:val="00414410"/>
    <w:rsid w:val="004E42BD"/>
    <w:rsid w:val="00534DDD"/>
    <w:rsid w:val="00540AA1"/>
    <w:rsid w:val="005412BC"/>
    <w:rsid w:val="005440B6"/>
    <w:rsid w:val="0056100A"/>
    <w:rsid w:val="00581A12"/>
    <w:rsid w:val="005A3117"/>
    <w:rsid w:val="005D1EE3"/>
    <w:rsid w:val="006A5786"/>
    <w:rsid w:val="0071473A"/>
    <w:rsid w:val="00730B4A"/>
    <w:rsid w:val="00733025"/>
    <w:rsid w:val="00734CA1"/>
    <w:rsid w:val="007760C4"/>
    <w:rsid w:val="007B6B04"/>
    <w:rsid w:val="00825498"/>
    <w:rsid w:val="008B3104"/>
    <w:rsid w:val="00920AC3"/>
    <w:rsid w:val="00946E74"/>
    <w:rsid w:val="009747A0"/>
    <w:rsid w:val="00991FC3"/>
    <w:rsid w:val="009B48BF"/>
    <w:rsid w:val="009E7631"/>
    <w:rsid w:val="009F4CCD"/>
    <w:rsid w:val="00A2301C"/>
    <w:rsid w:val="00AC17CD"/>
    <w:rsid w:val="00AF491D"/>
    <w:rsid w:val="00B1156B"/>
    <w:rsid w:val="00B4059B"/>
    <w:rsid w:val="00BE240B"/>
    <w:rsid w:val="00CB2273"/>
    <w:rsid w:val="00D514C0"/>
    <w:rsid w:val="00D90D27"/>
    <w:rsid w:val="00D967C2"/>
    <w:rsid w:val="00D96954"/>
    <w:rsid w:val="00DA1AA9"/>
    <w:rsid w:val="00E30E72"/>
    <w:rsid w:val="00E709B4"/>
    <w:rsid w:val="00E753C7"/>
    <w:rsid w:val="02F03F1A"/>
    <w:rsid w:val="07DC7399"/>
    <w:rsid w:val="0983332C"/>
    <w:rsid w:val="0B5D6749"/>
    <w:rsid w:val="108D5598"/>
    <w:rsid w:val="134A07F9"/>
    <w:rsid w:val="16845788"/>
    <w:rsid w:val="25FE400E"/>
    <w:rsid w:val="2A554768"/>
    <w:rsid w:val="2A60172D"/>
    <w:rsid w:val="2CE30718"/>
    <w:rsid w:val="338D4C23"/>
    <w:rsid w:val="33D63985"/>
    <w:rsid w:val="35A82855"/>
    <w:rsid w:val="421A3B26"/>
    <w:rsid w:val="4B21021B"/>
    <w:rsid w:val="545A6004"/>
    <w:rsid w:val="5543118E"/>
    <w:rsid w:val="64CF20F6"/>
    <w:rsid w:val="750A2CD7"/>
    <w:rsid w:val="759A6034"/>
    <w:rsid w:val="767E174F"/>
    <w:rsid w:val="76BA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uiPriority w:val="99"/>
    <w:pPr>
      <w:spacing w:beforeAutospacing="1" w:afterAutospacing="1"/>
    </w:pPr>
    <w:rPr>
      <w:rFonts w:cs="Times New Roman"/>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批注框文本 Char"/>
    <w:basedOn w:val="8"/>
    <w:link w:val="2"/>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9275</Words>
  <Characters>10013</Characters>
  <Lines>73</Lines>
  <Paragraphs>20</Paragraphs>
  <TotalTime>26</TotalTime>
  <ScaleCrop>false</ScaleCrop>
  <LinksUpToDate>false</LinksUpToDate>
  <CharactersWithSpaces>10108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2022-05-25T08:53:00Z</dcterms:created>
  <dc:creator>沈杰</dc:creator>
  <cp:lastModifiedBy>yyh</cp:lastModifiedBy>
  <cp:lastPrinted>2022-05-24T06:22:00Z</cp:lastPrinted>
  <dcterms:modified xsi:type="dcterms:W3CDTF">2022-05-25T11:23:17Z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2022-03-28T16:14:09Z</vt:filetime>
  </property>
  <property fmtid="{D5CDD505-2E9C-101B-9397-08002B2CF9AE}" pid="4" name="KSOProductBuildVer">
    <vt:lpwstr>2052-11.1.0.11744</vt:lpwstr>
  </property>
  <property fmtid="{D5CDD505-2E9C-101B-9397-08002B2CF9AE}" pid="5" name="ICV">
    <vt:lpwstr>8F35F1BAF0E64D87BE2A22A017137FB9</vt:lpwstr>
  </property>
</Properties>
</file>